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bối cảnh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gánh nặng quốc tế hóa bắt buộc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hoạt động kinh doanh;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 căn cứ heading H2/H3.)</w:t>
      </w:r>
    </w:p>
    <w:p>
      <w:r>
        <w:pict>
          <v:rect style="width:0;height:1.5pt" o:hralign="center" o:hrstd="t" o:hr="t"/>
        </w:pict>
      </w:r>
    </w:p>
    <w:bookmarkEnd w:id="24"/>
    <w:bookmarkStart w:id="25" w:name="danh-mục-bảng"/>
    <w:p>
      <w:pPr>
        <w:pStyle w:val="Heading2"/>
      </w:pPr>
      <w:r>
        <w:t xml:space="preserve">DANH MỤC BẢNG</w:t>
      </w:r>
    </w:p>
    <w:p>
      <w:pPr>
        <w:pStyle w:val="FirstParagraph"/>
      </w:pPr>
      <w:r>
        <w:t xml:space="preserve">(Giữ nguyên từ v3.1 — 10 bảng từ §2.1 đến §6.1.)</w:t>
      </w:r>
    </w:p>
    <w:bookmarkEnd w:id="25"/>
    <w:bookmarkStart w:id="26" w:name="danh-mục-hình"/>
    <w:p>
      <w:pPr>
        <w:pStyle w:val="Heading2"/>
      </w:pPr>
      <w:r>
        <w:t xml:space="preserve">DANH MỤC HÌNH</w:t>
      </w:r>
    </w:p>
    <w:p>
      <w:pPr>
        <w:pStyle w:val="FirstParagraph"/>
      </w:pPr>
      <w:r>
        <w:t xml:space="preserve">(Giữ nguyên từ v3.1 — 11 hình bao gồm 6 hình mới tạo v3.0 ở</w:t>
      </w:r>
      <w:r>
        <w:t xml:space="preserve"> </w:t>
      </w:r>
      <w:r>
        <w:rPr>
          <w:rStyle w:val="VerbatimChar"/>
        </w:rPr>
        <w:t xml:space="preserve">thesis/figures/</w:t>
      </w:r>
      <w:r>
        <w:t xml:space="preserve">.)</w:t>
      </w:r>
    </w:p>
    <w:bookmarkEnd w:id="26"/>
    <w:bookmarkStart w:id="27" w:name="danh-mục-từ-viết-tắt"/>
    <w:p>
      <w:pPr>
        <w:pStyle w:val="Heading2"/>
      </w:pPr>
      <w:r>
        <w:t xml:space="preserve">DANH MỤC TỪ VIẾT TẮT</w:t>
      </w:r>
    </w:p>
    <w:p>
      <w:pPr>
        <w:pStyle w:val="FirstParagraph"/>
      </w:pPr>
      <w:r>
        <w:t xml:space="preserve">(Giữ nguyên từ v3.1b — 30+ acronyms với giải thích Việt-Anh.)</w: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(NotebookLM, 2026</w:t>
      </w:r>
      <w:r>
        <w:t xml:space="preserve"> </w:t>
      </w:r>
      <w:r>
        <w:rPr>
          <w:iCs/>
          <w:i/>
        </w:rPr>
        <w:t xml:space="preserve">Tariff Mỹ + Vietnam Macro Deep + Zombie Firms</w:t>
      </w:r>
      <w:r>
        <w:t xml:space="preserve"> </w:t>
      </w:r>
      <w:r>
        <w:t xml:space="preserve">07/05/2026; ADB Vietnam Economic Outlook 2026). Bảy lớp bối cảnh này tác động không đồng đều đến các nhóm nền kinh tế châu Á.</w:t>
      </w:r>
    </w:p>
    <w:p>
      <w:pPr>
        <w:pStyle w:val="BodyText"/>
      </w:pPr>
      <w:r>
        <w:t xml:space="preserve">Trong bối cảnh đó, hệ thống thông tin về hiệu quả hoạt động kinh doanh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hoạt động kinh doanh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(NotebookLM, 2026</w:t>
      </w:r>
      <w:r>
        <w:t xml:space="preserve"> </w:t>
      </w:r>
      <w:r>
        <w:rPr>
          <w:iCs/>
          <w:i/>
        </w:rPr>
        <w:t xml:space="preserve">Bẫy đo lường số hóa Châu Á</w:t>
      </w:r>
      <w:r>
        <w:t xml:space="preserve">).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hoạt động kinh doanh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 đặc biệt §5.7 SIDS Thái Bình Dương và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 Bertram, 2006; vulnerability —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hoạt động kinh doanh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hoạt động kinh doanh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gánh nặng quốc tế hóa bắt buộc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37" w:name="X6a96fa224f36a19d68653d3e10335f396843985"/>
    <w:p>
      <w:pPr>
        <w:pStyle w:val="Heading2"/>
      </w:pPr>
      <w:r>
        <w:t xml:space="preserve">CHƯƠNG 2 — CƠ SỞ LÝ LUẬN VỀ HIỆU QUẢ HOẠT ĐỘNG KINH DOANH</w:t>
      </w:r>
    </w:p>
    <w:p>
      <w:pPr>
        <w:pStyle w:val="FirstParagraph"/>
      </w:pPr>
      <w:r>
        <w:t xml:space="preserve">(Giữ nguyên từ v3.0/3.1 — xem commit</w:t>
      </w:r>
      <w:r>
        <w:t xml:space="preserve"> </w:t>
      </w:r>
      <w:r>
        <w:rPr>
          <w:rStyle w:val="VerbatimChar"/>
        </w:rPr>
        <w:t xml:space="preserve">cd4276a</w:t>
      </w:r>
      <w:r>
        <w:t xml:space="preserve"> </w:t>
      </w:r>
      <w:r>
        <w:t xml:space="preserve">cho 5 tiểu mục đầy đủ §2.1-§2.5: khái niệm; chiều đo lường; meta-analysis; chuẩn hóa xuyên quốc gia; ba khung lý thuyết.)</w:t>
      </w:r>
    </w:p>
    <w:bookmarkStart w:id="35" w:name="X4c0732984da07cecc2bb03685008189b4ec6c8b"/>
    <w:p>
      <w:pPr>
        <w:pStyle w:val="Heading3"/>
      </w:pPr>
      <w:r>
        <w:t xml:space="preserve">§2.6 ĐIỀU KIỆN BIÊN CHO U-CURVE LU &amp; BEAMISH (2004)</w:t>
      </w:r>
    </w:p>
    <w:p>
      <w:pPr>
        <w:pStyle w:val="FirstParagraph"/>
      </w:pPr>
      <w:r>
        <w:t xml:space="preserve">NotebookLM podcast 06/05/2026</w:t>
      </w:r>
      <w:r>
        <w:t xml:space="preserve"> </w:t>
      </w:r>
      <w:r>
        <w:rPr>
          <w:iCs/>
          <w:i/>
        </w:rPr>
        <w:t xml:space="preserve">Bẫy đo lường số hóa Châu Á</w:t>
      </w:r>
      <w:r>
        <w:t xml:space="preserve"> </w:t>
      </w:r>
      <w:r>
        <w:t xml:space="preserve">khuyến nghị: việc nhét khái niệm "gánh nặng quốc tế hóa bắt buộc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NotebookLM (2026,</w:t>
      </w:r>
      <w:r>
        <w:t xml:space="preserve"> </w:t>
      </w:r>
      <w:r>
        <w:rPr>
          <w:iCs/>
          <w:i/>
        </w:rPr>
        <w:t xml:space="preserve">Bẫy đo lường số hóa Châu Á</w:t>
      </w:r>
      <w:r>
        <w:t xml:space="preserve">).</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5"/>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5"/>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5"/>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35"/>
    <w:bookmarkStart w:id="36" w:name="X5b689c7d2dbcc4ff74ca289d1b9bebaa55c18a2"/>
    <w:p>
      <w:pPr>
        <w:pStyle w:val="Heading3"/>
      </w:pPr>
      <w:r>
        <w:t xml:space="preserve">§2.7 KHUNG 4-TIER CHUYỂN ĐỔI SỐ + MÔ HÌNH NĂNG LỰC SỐ PHỤ THUỘC BỐI CẢNH</w:t>
      </w:r>
    </w:p>
    <w:p>
      <w:pPr>
        <w:pStyle w:val="FirstParagraph"/>
      </w:pPr>
      <w:r>
        <w:t xml:space="preserve">NotebookLM critique 08/05/2026 (đối chiếu hai bản thảo của tác giả: P3 Singapore — Mar et al., 2026,</w:t>
      </w:r>
      <w:r>
        <w:t xml:space="preserve"> </w:t>
      </w:r>
      <w:r>
        <w:rPr>
          <w:iCs/>
          <w:i/>
        </w:rPr>
        <w:t xml:space="preserve">MIR</w:t>
      </w:r>
      <w:r>
        <w:t xml:space="preserve">; P4 Việt Nam —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Áp dụng số và Năng lực phụ thuộc bối cảnh (Context-Contingent Digital-and-Capability Model — CDCM)</w:t>
      </w:r>
      <w:r>
        <w:t xml:space="preserve"> </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ngưỡng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6"/>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6"/>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6"/>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6"/>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quốc tế hóa.</w:t>
      </w:r>
    </w:p>
    <w:p>
      <w:pPr>
        <w:pStyle w:val="FirstParagraph"/>
      </w:pPr>
      <w:r>
        <w:rPr>
          <w:bCs/>
          <w:b/>
        </w:rPr>
        <w:t xml:space="preserve">Tham chiếu</w:t>
      </w:r>
      <w:r>
        <w:t xml:space="preserve">: Verhoef et al. (2021); Bharadwaj et al. (2013); Brynjolfsson &amp; McAfee (2014);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APJM</w:t>
      </w:r>
      <w:r>
        <w:t xml:space="preserve">); NotebookLM (08/05/2026,</w:t>
      </w:r>
      <w:r>
        <w:t xml:space="preserve"> </w:t>
      </w:r>
      <w:r>
        <w:rPr>
          <w:iCs/>
          <w:i/>
        </w:rPr>
        <w:t xml:space="preserve">Digital Scaling and Performance in Singapore's Global Firms</w:t>
      </w:r>
      <w:r>
        <w:t xml:space="preserve">); Coase (1937); Williamson (1985); Banalieva &amp; Dhanaraj (2019).</w:t>
      </w:r>
    </w:p>
    <w:p>
      <w:r>
        <w:pict>
          <v:rect style="width:0;height:1.5pt" o:hralign="center" o:hrstd="t" o:hr="t"/>
        </w:pict>
      </w:r>
    </w:p>
    <w:bookmarkEnd w:id="36"/>
    <w:bookmarkEnd w:id="37"/>
    <w:bookmarkStart w:id="38" w:name="X88846fb419345082f0ac77ff5bd76369640769c"/>
    <w:p>
      <w:pPr>
        <w:pStyle w:val="Heading2"/>
      </w:pPr>
      <w:r>
        <w:t xml:space="preserve">CHƯƠNG 3 — KHUNG PHÂN LOẠI 6 PHÂN NHÓM CON ICRV</w:t>
      </w:r>
    </w:p>
    <w:p>
      <w:pPr>
        <w:pStyle w:val="FirstParagraph"/>
      </w:pPr>
      <w:r>
        <w:t xml:space="preserve">(Giữ nguyên từ v3.1b — xem commit</w:t>
      </w:r>
      <w:r>
        <w:t xml:space="preserve"> </w:t>
      </w:r>
      <w:r>
        <w:rPr>
          <w:rStyle w:val="VerbatimChar"/>
        </w:rPr>
        <w:t xml:space="preserve">cd4276a</w:t>
      </w:r>
      <w:r>
        <w:t xml:space="preserve"> </w:t>
      </w:r>
      <w:r>
        <w:t xml:space="preserve">cho §3.1-§3.5 đầy đủ với Bảng 3.1, 3.2 và logic phân nhóm con. Note v3.3: SIDS Pacific row giữ nguyên với clarification trong §1.3 rằng đây là boundary extension.)</w:t>
      </w:r>
    </w:p>
    <w:p>
      <w:r>
        <w:pict>
          <v:rect style="width:0;height:1.5pt" o:hralign="center" o:hrstd="t" o:hr="t"/>
        </w:pict>
      </w:r>
    </w:p>
    <w:bookmarkEnd w:id="38"/>
    <w:bookmarkStart w:id="39" w:name="X95aae0d8593ff0d47f5fd36881a6c39072d65dc"/>
    <w:p>
      <w:pPr>
        <w:pStyle w:val="Heading2"/>
      </w:pPr>
      <w:r>
        <w:t xml:space="preserve">PHỤ LỤC H — BẢNG THUẬT NGỮ ANH-VIỆT (RÚT GỌN)</w:t>
      </w:r>
    </w:p>
    <w:p>
      <w:pPr>
        <w:pStyle w:val="FirstParagraph"/>
      </w:pPr>
      <w:r>
        <w:t xml:space="preserve">(Giữ nguyên từ v3.0 — xem commit</w:t>
      </w:r>
      <w:r>
        <w:t xml:space="preserve"> </w:t>
      </w:r>
      <w:r>
        <w:rPr>
          <w:rStyle w:val="VerbatimChar"/>
        </w:rPr>
        <w:t xml:space="preserve">e855de9</w:t>
      </w:r>
      <w:r>
        <w:t xml:space="preserve"> </w:t>
      </w:r>
      <w:r>
        <w:t xml:space="preserve">cho 6 nhóm thuật ngữ + Hán-Việt mapping.)</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39"/>
    <w:bookmarkEnd w:id="4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2026-05-25T01:54:11Z</dcterms:created>
  <dcterms:modified xsi:type="dcterms:W3CDTF">2026-05-25T01:54:11Z</dcterms:modified>
</cp:coreProperties>
</file>

<file path=docProps/custom.xml><?xml version="1.0" encoding="utf-8"?>
<Properties xmlns="http://schemas.openxmlformats.org/officeDocument/2006/custom-properties" xmlns:vt="http://schemas.openxmlformats.org/officeDocument/2006/docPropsVTypes"/>
</file>