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chương-4-kết-quả-nghiên-cứu"/>
    <w:p>
      <w:pPr>
        <w:pStyle w:val="Heading1"/>
      </w:pPr>
      <w:r>
        <w:t xml:space="preserve">CHƯƠNG 4: KẾT QUẢ NGHIÊN CỨU</w:t>
      </w:r>
    </w:p>
    <w:p>
      <w:r>
        <w:pict>
          <v:rect style="width:0;height:1.5pt" o:hralign="center" o:hrstd="t" o:hr="t"/>
        </w:pict>
      </w:r>
    </w:p>
    <w:bookmarkStart w:id="20" w:name="giới-thiệu-chương"/>
    <w:p>
      <w:pPr>
        <w:pStyle w:val="Heading2"/>
      </w:pPr>
      <w:r>
        <w:t xml:space="preserve">Giới thiệu chương</w:t>
      </w:r>
    </w:p>
    <w:p>
      <w:pPr>
        <w:pStyle w:val="FirstParagraph"/>
      </w:pPr>
      <w:r>
        <w:t xml:space="preserve">Chương 4 trình bày toàn bộ kết quả thực nghiệm của luận án theo logic đi từ bằng chứng tổng hợp ở cấp vĩ mô (meta-analytic) đến bằng chứng quốc gia cụ thể và cuối cùng là kiểm định toàn mẫu đa quốc gia. Cấu trúc trình bày gồm sáu phần chính, tương ứng với sáu nhóm phân tích chính của luận án: (i) kết quả meta-analysis ba tầng (P6); (ii) bối cảnh thể chế tiên tiến—đổi mới tại Singapore (P4); (iii) bối cảnh thể chế trung bình cao tại Trung Quốc (P5); (iv) bối cảnh chuyển đổi bậc thấp—trung tại Việt Nam (P3); (v) kiểm định toàn mẫu châu Á đa bối cảnh (P7); và (vi) trường hợp biên là các nền kinh tế đảo nhỏ đang phát triển ở Thái Bình Dương (P8). Tất cả con số thống kê được trích từ bản thảo đang chuẩn bị (Đỗ &amp; Phan, 2026, bản thảo đang chuẩn bị) và không được phép tự ý điều chỉnh.</w:t>
      </w:r>
    </w:p>
    <w:p>
      <w:r>
        <w:pict>
          <v:rect style="width:0;height:1.5pt" o:hralign="center" o:hrstd="t" o:hr="t"/>
        </w:pict>
      </w:r>
    </w:p>
    <w:bookmarkEnd w:id="20"/>
    <w:bookmarkStart w:id="25" w:name="X94937597561f43606547c220f85caafe34980e6"/>
    <w:p>
      <w:pPr>
        <w:pStyle w:val="Heading2"/>
      </w:pPr>
      <w:r>
        <w:t xml:space="preserve">4.1 Kết quả tổng hợp định lượng — Meta-analysis ba tầng (P6)</w:t>
      </w:r>
    </w:p>
    <w:bookmarkStart w:id="21" w:name="Xd031f51f753498dbe6cafd5fc586674dbcf6cc0"/>
    <w:p>
      <w:pPr>
        <w:pStyle w:val="Heading3"/>
      </w:pPr>
      <w:r>
        <w:t xml:space="preserve">4.1.1 Chỉ số hiệu ứng tổng hợp</w:t>
      </w:r>
    </w:p>
    <w:p>
      <w:pPr>
        <w:pStyle w:val="FirstParagraph"/>
      </w:pPr>
      <w:r>
        <w:t xml:space="preserve">Phân tích meta-analytic tổng hợp ba tầng (three-level multilevel meta-analysis — MARA) được tiến hành trên tập dữ liệu gồm</w:t>
      </w:r>
      <w:r>
        <w:t xml:space="preserve"> </w:t>
      </w:r>
      <m:oMath>
        <m:r>
          <m:t>k</m:t>
        </m:r>
        <m:r>
          <m:rPr>
            <m:sty m:val="p"/>
          </m:rPr>
          <m:t>=</m:t>
        </m:r>
        <m:r>
          <m:t>238</m:t>
        </m:r>
      </m:oMath>
      <w:r>
        <w:t xml:space="preserve"> </w:t>
      </w:r>
      <w:r>
        <w:t xml:space="preserve">nghiên cứu với tổng cộng hàng trăm cặp effect-size đa dạng theo vùng địa lý, giai đoạn và phương pháp. Kết quả cho thấy hiệu ứng tổng hợp (pooled correlation) là</w:t>
      </w:r>
      <w:r>
        <w:t xml:space="preserve"> </w:t>
      </w:r>
      <m:oMath>
        <m:r>
          <m:t>r</m:t>
        </m:r>
        <m:r>
          <m:rPr>
            <m:sty m:val="p"/>
          </m:rPr>
          <m:t>=</m:t>
        </m:r>
        <m:r>
          <m:t>0</m:t>
        </m:r>
        <m:r>
          <m:rPr>
            <m:sty m:val="p"/>
          </m:rPr>
          <m:t>,</m:t>
        </m:r>
        <m:r>
          <m:t>074</m:t>
        </m:r>
      </m:oMath>
      <w:r>
        <w:t xml:space="preserve">, với khoảng tin cậy 95% dương và có ý nghĩa thống kê. Giá trị</w:t>
      </w:r>
      <w:r>
        <w:t xml:space="preserve"> </w:t>
      </w:r>
      <m:oMath>
        <m:r>
          <m:t>r</m:t>
        </m:r>
      </m:oMath>
      <w:r>
        <w:t xml:space="preserve"> </w:t>
      </w:r>
      <w:r>
        <w:t xml:space="preserve">này khẳng định bức tranh tổng quát từ các meta-analyses trước đây của Bausch và Krist (2007), Kirca et al. (2012), Marano et al. (2016) và Arte và Larimo (2022): mối quan hệ tổng hợp giữa quốc tế hóa và hiệu quả hoạt động là dương nhưng có biên độ khiêm tốn.</w:t>
      </w:r>
    </w:p>
    <w:p>
      <w:pPr>
        <w:pStyle w:val="BodyText"/>
      </w:pPr>
      <w:r>
        <w:t xml:space="preserve">Đặc biệt đáng lưu ý, kết quả P6 hoàn toàn nhất quán với baseline meta-analysis đã công bố tại hội nghị ICBEF 2024 của Đỗ và Phan (2024), với</w:t>
      </w:r>
      <w:r>
        <w:t xml:space="preserve"> </w:t>
      </w:r>
      <m:oMath>
        <m:r>
          <m:t>k</m:t>
        </m:r>
        <m:r>
          <m:rPr>
            <m:sty m:val="p"/>
          </m:rPr>
          <m:t>=</m:t>
        </m:r>
        <m:r>
          <m:t>113</m:t>
        </m:r>
      </m:oMath>
      <w:r>
        <w:t xml:space="preserve"> </w:t>
      </w:r>
      <w:r>
        <w:t xml:space="preserve">nghiên cứu và</w:t>
      </w:r>
      <w:r>
        <w:t xml:space="preserve"> </w:t>
      </w:r>
      <m:oMath>
        <m:r>
          <m:t>r</m:t>
        </m:r>
        <m:r>
          <m:rPr>
            <m:sty m:val="p"/>
          </m:rPr>
          <m:t>=</m:t>
        </m:r>
        <m:r>
          <m:t>0</m:t>
        </m:r>
        <m:r>
          <m:rPr>
            <m:sty m:val="p"/>
          </m:rPr>
          <m:t>,</m:t>
        </m:r>
        <m:r>
          <m:t>07</m:t>
        </m:r>
      </m:oMath>
      <w:r>
        <w:t xml:space="preserve"> </w:t>
      </w:r>
      <w:r>
        <w:t xml:space="preserve">— sự hội tụ này tạo ra bằng chứng chéo vững chắc khi mở rộng pool lên gần gấp đôi số nghiên cứu.</w:t>
      </w:r>
    </w:p>
    <w:bookmarkEnd w:id="21"/>
    <w:bookmarkStart w:id="22" w:name="X249d4dd148d58674d2455c4660ffbc2a184c5d1"/>
    <w:p>
      <w:pPr>
        <w:pStyle w:val="Heading3"/>
      </w:pPr>
      <w:r>
        <w:t xml:space="preserve">4.1.2 Phân tích dị biệt ba tầng</w:t>
      </w:r>
    </w:p>
    <w:p>
      <w:pPr>
        <w:pStyle w:val="FirstParagraph"/>
      </w:pPr>
      <w:r>
        <w:t xml:space="preserve">Kết quả quan trọng nhất của phân tích MARA không phải là giá trị điểm của</w:t>
      </w:r>
      <w:r>
        <w:t xml:space="preserve"> </w:t>
      </w:r>
      <m:oMath>
        <m:r>
          <m:t>r</m:t>
        </m:r>
      </m:oMath>
      <w:r>
        <w:t xml:space="preserve"> </w:t>
      </w:r>
      <w:r>
        <w:t xml:space="preserve">mà là cấu trúc của dị biệt (</w:t>
      </w:r>
      <m:oMath>
        <m:sSup>
          <m:e>
            <m:r>
              <m:t>I</m:t>
            </m:r>
          </m:e>
          <m:sup>
            <m:r>
              <m:t>2</m:t>
            </m:r>
          </m:sup>
        </m:sSup>
      </m:oMath>
      <w:r>
        <w:t xml:space="preserve">). Tổng</w:t>
      </w:r>
      <w:r>
        <w:t xml:space="preserve"> </w:t>
      </w:r>
      <m:oMath>
        <m:sSup>
          <m:e>
            <m:r>
              <m:t>I</m:t>
            </m:r>
          </m:e>
          <m:sup>
            <m:r>
              <m:t>2</m:t>
            </m:r>
          </m:sup>
        </m:sSup>
        <m:r>
          <m:rPr>
            <m:sty m:val="p"/>
          </m:rPr>
          <m:t>=</m:t>
        </m:r>
        <m:r>
          <m:t>62</m:t>
        </m:r>
        <m:r>
          <m:rPr>
            <m:sty m:val="p"/>
          </m:rPr>
          <m:t>,</m:t>
        </m:r>
        <m:r>
          <m:t>4</m:t>
        </m:r>
        <m:r>
          <m:rPr>
            <m:sty m:val="p"/>
          </m:rPr>
          <m:t>%</m:t>
        </m:r>
      </m:oMath>
      <w:r>
        <w:t xml:space="preserve">, cho thấy mức dị biệt đáng kể trong tập hợp 238 nghiên cứu không phải do sai số lấy mẫu. Quan trọng hơn, khi phân tách theo cấu trúc ba tầng:</w:t>
      </w:r>
    </w:p>
    <w:p>
      <w:pPr>
        <w:numPr>
          <w:ilvl w:val="0"/>
          <w:numId w:val="1001"/>
        </w:numPr>
        <w:pStyle w:val="Compact"/>
      </w:pPr>
      <w:r>
        <w:rPr>
          <w:bCs/>
          <w:b/>
        </w:rPr>
        <w:t xml:space="preserve">Tầng 2</w:t>
      </w:r>
      <w:r>
        <w:t xml:space="preserve"> </w:t>
      </w:r>
      <w:r>
        <w:t xml:space="preserve">(between-effect within-study, tức dị biệt giữa các effect-size trong cùng một nghiên cứu): chiếm</w:t>
      </w:r>
      <w:r>
        <w:t xml:space="preserve"> </w:t>
      </w:r>
      <m:oMath>
        <m:r>
          <m:t>54</m:t>
        </m:r>
        <m:r>
          <m:rPr>
            <m:sty m:val="p"/>
          </m:rPr>
          <m:t>,</m:t>
        </m:r>
        <m:r>
          <m:t>1</m:t>
        </m:r>
        <m:r>
          <m:rPr>
            <m:sty m:val="p"/>
          </m:rPr>
          <m:t>%</m:t>
        </m:r>
      </m:oMath>
      <w:r>
        <w:t xml:space="preserve"> </w:t>
      </w:r>
      <w:r>
        <w:t xml:space="preserve">tổng phương sai — đây là nguồn dị biệt chủ đạo.</w:t>
      </w:r>
    </w:p>
    <w:p>
      <w:pPr>
        <w:numPr>
          <w:ilvl w:val="0"/>
          <w:numId w:val="1001"/>
        </w:numPr>
        <w:pStyle w:val="Compact"/>
      </w:pPr>
      <w:r>
        <w:rPr>
          <w:bCs/>
          <w:b/>
        </w:rPr>
        <w:t xml:space="preserve">Tầng 3</w:t>
      </w:r>
      <w:r>
        <w:t xml:space="preserve"> </w:t>
      </w:r>
      <w:r>
        <w:t xml:space="preserve">(between-study, tức dị biệt giữa các nghiên cứu): chỉ chiếm</w:t>
      </w:r>
      <w:r>
        <w:t xml:space="preserve"> </w:t>
      </w:r>
      <m:oMath>
        <m:r>
          <m:t>8</m:t>
        </m:r>
        <m:r>
          <m:rPr>
            <m:sty m:val="p"/>
          </m:rPr>
          <m:t>,</m:t>
        </m:r>
        <m:r>
          <m:t>4</m:t>
        </m:r>
        <m:r>
          <m:rPr>
            <m:sty m:val="p"/>
          </m:rPr>
          <m:t>%</m:t>
        </m:r>
      </m:oMath>
      <w:r>
        <w:t xml:space="preserve">.</w:t>
      </w:r>
    </w:p>
    <w:p>
      <w:pPr>
        <w:pStyle w:val="FirstParagraph"/>
      </w:pPr>
      <w:r>
        <w:t xml:space="preserve">Phát hiện này có hàm ý lý thuyết sâu sắc: heterogeneity trong I→P literature xuất phát chủ yếu từ sự biến thiên</w:t>
      </w:r>
      <w:r>
        <w:t xml:space="preserve"> </w:t>
      </w:r>
      <w:r>
        <w:rPr>
          <w:bCs/>
          <w:b/>
        </w:rPr>
        <w:t xml:space="preserve">bên trong các nghiên cứu</w:t>
      </w:r>
      <w:r>
        <w:t xml:space="preserve"> </w:t>
      </w:r>
      <w:r>
        <w:t xml:space="preserve">(ví dụ: cùng một mẫu doanh nghiệp nhưng dùng các thước đo khác nhau cho cùng cấu trúc cho ra kết quả khác nhau), chứ không phải giữa các nghiên cứu với nhau. Điều này gợi ý rằng sự không nhất quán trong literature I→P phần lớn là vấn đề</w:t>
      </w:r>
      <w:r>
        <w:t xml:space="preserve"> </w:t>
      </w:r>
      <w:r>
        <w:rPr>
          <w:bCs/>
          <w:b/>
        </w:rPr>
        <w:t xml:space="preserve">đo lường và bối cảnh</w:t>
      </w:r>
      <w:r>
        <w:t xml:space="preserve">, không phải là bằng chứng về sự thiếu nhất quán thực sự trong quan hệ nhân quả giữa quốc tế hóa và hiệu quả.</w:t>
      </w:r>
    </w:p>
    <w:bookmarkEnd w:id="22"/>
    <w:bookmarkStart w:id="23" w:name="X1b5e7430c159cd86fc68a74f4d181bb069e3c7e"/>
    <w:p>
      <w:pPr>
        <w:pStyle w:val="Heading3"/>
      </w:pPr>
      <w:r>
        <w:t xml:space="preserve">4.1.3 Điều tiết bởi chế độ thể chế — ICRV moderation</w:t>
      </w:r>
    </w:p>
    <w:p>
      <w:pPr>
        <w:pStyle w:val="FirstParagraph"/>
      </w:pPr>
      <w:r>
        <w:t xml:space="preserve">Kiểm định điều tiết bằng nhóm chế độ thể chế ICRV (Institutional Context Regime Variation) cho kết quả có ý nghĩa thống kê cao:</w:t>
      </w:r>
      <w:r>
        <w:t xml:space="preserve">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Điều này xác nhận rằng chế độ thể chế — được phân loại thành sáu nhóm từ Advanced Innovation-Driven (Nhóm I: Singapore, Hong Kong, Đài Loan, Hàn Quốc) đến SIDS Thái Bình Dương (Nhóm VI) — là moderator có ý nghĩa thực sự cho mối quan hệ tổng hợp I→P trong văn liệu. Kiểm định</w:t>
      </w:r>
      <w:r>
        <w:t xml:space="preserve"> </w:t>
      </w:r>
      <m:oMath>
        <m:sSub>
          <m:e>
            <m:r>
              <m:t>Q</m:t>
            </m:r>
          </m:e>
          <m:sub>
            <m:r>
              <m:t>M</m:t>
            </m:r>
          </m:sub>
        </m:sSub>
      </m:oMath>
      <w:r>
        <w:t xml:space="preserve"> </w:t>
      </w:r>
      <w:r>
        <w:t xml:space="preserve">vượt ngưỡng tới hạn (</w:t>
      </w:r>
      <m:oMath>
        <m:r>
          <m:t>p</m:t>
        </m:r>
        <m:r>
          <m:rPr>
            <m:sty m:val="p"/>
          </m:rPr>
          <m:t>=</m:t>
        </m:r>
        <m:r>
          <m:rPr>
            <m:sty m:val="p"/>
          </m:rPr>
          <m:t>,</m:t>
        </m:r>
        <m:r>
          <m:t>002</m:t>
        </m:r>
      </m:oMath>
      <w:r>
        <w:t xml:space="preserve">), hàm ý rằng sự khác biệt giữa các nhóm ICRV không thể giải thích bằng sai số lấy mẫu.</w:t>
      </w:r>
    </w:p>
    <w:p>
      <w:pPr>
        <w:pStyle w:val="BodyText"/>
      </w:pPr>
      <w:r>
        <w:t xml:space="preserve">Gradient theo ICRV hiện diện rõ ràng trong kết quả: các nền kinh tế Advanced Innovation-Driven có hiệu ứng I→P lớn hơn so với các nền kinh tế Frontier hay SIDS. Kết quả này nhất quán với cơ chế lý thuyết từ Institutional Theory — môi trường thể chế chất lượng cao tạo điều kiện để doanh nghiệp chuyển hóa quốc tế hóa thành hiệu quả dễ dàng hơn (North, 1990; Marano et al., 2016).</w:t>
      </w:r>
    </w:p>
    <w:bookmarkEnd w:id="23"/>
    <w:bookmarkStart w:id="24" w:name="X6c5deb1d61b597d94fea6a9d5467893d4081d11"/>
    <w:p>
      <w:pPr>
        <w:pStyle w:val="Heading3"/>
      </w:pPr>
      <w:r>
        <w:t xml:space="preserve">4.1.4 Kiểm định publication bias</w:t>
      </w:r>
    </w:p>
    <w:p>
      <w:pPr>
        <w:pStyle w:val="FirstParagraph"/>
      </w:pPr>
      <w:r>
        <w:t xml:space="preserve">Phân tích publication bias gồm ba kiểm định bổ sung nhau.</w:t>
      </w:r>
      <w:r>
        <w:t xml:space="preserve"> </w:t>
      </w:r>
      <w:r>
        <w:rPr>
          <w:bCs/>
          <w:b/>
        </w:rPr>
        <w:t xml:space="preserve">Kiểm định Egger</w:t>
      </w:r>
      <w:r>
        <w:t xml:space="preserve"> </w:t>
      </w:r>
      <w:r>
        <w:t xml:space="preserve">cho kết quả</w:t>
      </w:r>
      <w:r>
        <w:t xml:space="preserve"> </w:t>
      </w:r>
      <m:oMath>
        <m:r>
          <m:t>b</m:t>
        </m:r>
        <m:r>
          <m:rPr>
            <m:sty m:val="p"/>
          </m:rPr>
          <m:t>=</m:t>
        </m:r>
        <m:r>
          <m:t>0</m:t>
        </m:r>
        <m:r>
          <m:rPr>
            <m:sty m:val="p"/>
          </m:rPr>
          <m:t>,</m:t>
        </m:r>
        <m:r>
          <m:t>475</m:t>
        </m:r>
      </m:oMath>
      <w:r>
        <w:t xml:space="preserve"> </w:t>
      </w:r>
      <w:r>
        <w:t xml:space="preserve">(</w:t>
      </w:r>
      <m:oMath>
        <m:r>
          <m:t>p</m:t>
        </m:r>
        <m:r>
          <m:rPr>
            <m:sty m:val="p"/>
          </m:rPr>
          <m:t>=</m:t>
        </m:r>
        <m:r>
          <m:rPr>
            <m:sty m:val="p"/>
          </m:rPr>
          <m:t>,</m:t>
        </m:r>
        <m:r>
          <m:t>057</m:t>
        </m:r>
      </m:oMath>
      <w:r>
        <w:t xml:space="preserve">) — sát ngưỡng</w:t>
      </w:r>
      <w:r>
        <w:t xml:space="preserve"> </w:t>
      </w:r>
      <m:oMath>
        <m:r>
          <m:t>α</m:t>
        </m:r>
        <m:r>
          <m:rPr>
            <m:sty m:val="p"/>
          </m:rPr>
          <m:t>=</m:t>
        </m:r>
        <m:r>
          <m:t>0</m:t>
        </m:r>
        <m:r>
          <m:rPr>
            <m:sty m:val="p"/>
          </m:rPr>
          <m:t>,</m:t>
        </m:r>
        <m:r>
          <m:t>05</m:t>
        </m:r>
      </m:oMath>
      <w:r>
        <w:t xml:space="preserve"> </w:t>
      </w:r>
      <w:r>
        <w:t xml:space="preserve">nhưng không đạt ý nghĩa thống kê theo tiêu chuẩn thông thường.</w:t>
      </w:r>
      <w:r>
        <w:t xml:space="preserve"> </w:t>
      </w:r>
      <w:r>
        <w:rPr>
          <w:bCs/>
          <w:b/>
        </w:rPr>
        <w:t xml:space="preserve">Kiểm định Begg–Mazumdar</w:t>
      </w:r>
      <w:r>
        <w:t xml:space="preserve"> </w:t>
      </w:r>
      <w:r>
        <w:t xml:space="preserve">(Begg &amp; Mazumdar, 1994) cho kết quả</w:t>
      </w:r>
      <w:r>
        <w:t xml:space="preserve"> </w:t>
      </w:r>
      <m:oMath>
        <m:r>
          <m:t>τ</m:t>
        </m:r>
        <m:r>
          <m:rPr>
            <m:sty m:val="p"/>
          </m:rPr>
          <m:t>=</m:t>
        </m:r>
        <m:r>
          <m:rPr>
            <m:sty m:val="p"/>
          </m:rPr>
          <m:t>−</m:t>
        </m:r>
        <m:r>
          <m:t>0</m:t>
        </m:r>
        <m:r>
          <m:rPr>
            <m:sty m:val="p"/>
          </m:rPr>
          <m:t>,</m:t>
        </m:r>
        <m:r>
          <m:t>134</m:t>
        </m:r>
      </m:oMath>
      <w:r>
        <w:t xml:space="preserve"> </w:t>
      </w:r>
      <w:r>
        <w:t xml:space="preserve">(</w:t>
      </w:r>
      <m:oMath>
        <m:r>
          <m:t>p</m:t>
        </m:r>
        <m:r>
          <m:rPr>
            <m:sty m:val="p"/>
          </m:rPr>
          <m:t>=</m:t>
        </m:r>
        <m:r>
          <m:rPr>
            <m:sty m:val="p"/>
          </m:rPr>
          <m:t>,</m:t>
        </m:r>
        <m:r>
          <m:t>0007</m:t>
        </m:r>
      </m:oMath>
      <w:r>
        <w:t xml:space="preserve">) — có ý nghĩa thống kê rõ ràng, cho thấy các nghiên cứu với sai số chuẩn lớn hơn (mẫu nhỏ hơn) có xu hướng báo cáo effect size thấp hơn, phù hợp với lệch lạc công bố ưu tiên kết quả dương tính.</w:t>
      </w:r>
      <w:r>
        <w:t xml:space="preserve"> </w:t>
      </w:r>
      <w:r>
        <w:rPr>
          <w:bCs/>
          <w:b/>
        </w:rPr>
        <w:t xml:space="preserve">Phân tích trim-and-fill</w:t>
      </w:r>
      <w:r>
        <w:t xml:space="preserve"> </w:t>
      </w:r>
      <w:r>
        <w:t xml:space="preserve">điều chỉnh ước lượng từ</w:t>
      </w:r>
      <w:r>
        <w:t xml:space="preserve"> </w:t>
      </w:r>
      <m:oMath>
        <m:r>
          <m:t>r</m:t>
        </m:r>
        <m:r>
          <m:rPr>
            <m:sty m:val="p"/>
          </m:rPr>
          <m:t>=</m:t>
        </m:r>
        <m:r>
          <m:t>0</m:t>
        </m:r>
        <m:r>
          <m:rPr>
            <m:sty m:val="p"/>
          </m:rPr>
          <m:t>,</m:t>
        </m:r>
        <m:r>
          <m:t>074</m:t>
        </m:r>
      </m:oMath>
      <w:r>
        <w:t xml:space="preserve"> </w:t>
      </w:r>
      <w:r>
        <w:t xml:space="preserve">xuống</w:t>
      </w:r>
      <w:r>
        <w:t xml:space="preserve"> </w:t>
      </w:r>
      <m:oMath>
        <m:r>
          <m:t>r</m:t>
        </m:r>
        <m:r>
          <m:rPr>
            <m:sty m:val="p"/>
          </m:rPr>
          <m:t>=</m:t>
        </m:r>
        <m:r>
          <m:t>0</m:t>
        </m:r>
        <m:r>
          <m:rPr>
            <m:sty m:val="p"/>
          </m:rPr>
          <m:t>,</m:t>
        </m:r>
        <m:r>
          <m:t>035</m:t>
        </m:r>
      </m:oMath>
      <w:r>
        <w:t xml:space="preserve"> </w:t>
      </w:r>
      <w:r>
        <w:t xml:space="preserve">(với</w:t>
      </w:r>
      <w:r>
        <w:t xml:space="preserve"> </w:t>
      </w:r>
      <m:oMath>
        <m:r>
          <m:t>k</m:t>
        </m:r>
        <m:r>
          <m:rPr>
            <m:sty m:val="p"/>
          </m:rPr>
          <m:t>=</m:t>
        </m:r>
        <m:r>
          <m:t>58</m:t>
        </m:r>
      </m:oMath>
      <w:r>
        <w:t xml:space="preserve"> </w:t>
      </w:r>
      <w:r>
        <w:t xml:space="preserve">nghiên cứu được imputed) — mức điều chỉnh đáng kể nhưng không đổi chiều hướng tích cực của quan hệ tổng hợp.</w:t>
      </w:r>
      <w:r>
        <w:t xml:space="preserve"> </w:t>
      </w:r>
      <w:r>
        <w:rPr>
          <w:bCs/>
          <w:b/>
        </w:rPr>
        <w:t xml:space="preserve">Fail-safe</w:t>
      </w:r>
      <w:r>
        <w:rPr>
          <w:bCs/>
          <w:b/>
        </w:rPr>
        <w:t xml:space="preserve"> </w:t>
      </w:r>
      <m:oMath>
        <m:r>
          <m:t>N</m:t>
        </m:r>
      </m:oMath>
      <w:r>
        <w:rPr>
          <w:bCs/>
          <w:b/>
        </w:rPr>
        <w:t xml:space="preserve"> </w:t>
      </w:r>
      <w:r>
        <w:rPr>
          <w:bCs/>
          <w:b/>
        </w:rPr>
        <w:t xml:space="preserve">= 45.848</w:t>
      </w:r>
      <w:r>
        <w:t xml:space="preserve"> </w:t>
      </w:r>
      <w:r>
        <w:t xml:space="preserve">vượt xa ngưỡng tới hạn</w:t>
      </w:r>
      <w:r>
        <w:t xml:space="preserve"> </w:t>
      </w:r>
      <m:oMath>
        <m:r>
          <m:t>5</m:t>
        </m:r>
        <m:r>
          <m:t>k</m:t>
        </m:r>
        <m:r>
          <m:rPr>
            <m:sty m:val="p"/>
          </m:rPr>
          <m:t>+</m:t>
        </m:r>
        <m:r>
          <m:t>10</m:t>
        </m:r>
        <m:r>
          <m:rPr>
            <m:sty m:val="p"/>
          </m:rPr>
          <m:t>=</m:t>
        </m:r>
        <m:r>
          <m:t>1</m:t>
        </m:r>
        <m:r>
          <m:rPr>
            <m:sty m:val="p"/>
          </m:rPr>
          <m:t>,</m:t>
        </m:r>
        <m:r>
          <m:t>200</m:t>
        </m:r>
      </m:oMath>
      <w:r>
        <w:t xml:space="preserve">, khẳng định publication bias không thể bác bỏ hoàn toàn kết quả tổng hợp. Tổng hợp lại, bằng chứng publication bias được xác nhận qua kiểm định Begg–Mazumdar có ý nghĩa (</w:t>
      </w:r>
      <m:oMath>
        <m:r>
          <m:t>p</m:t>
        </m:r>
        <m:r>
          <m:rPr>
            <m:sty m:val="p"/>
          </m:rPr>
          <m:t>=</m:t>
        </m:r>
        <m:r>
          <m:rPr>
            <m:sty m:val="p"/>
          </m:rPr>
          <m:t>,</m:t>
        </m:r>
        <m:r>
          <m:t>0007</m:t>
        </m:r>
      </m:oMath>
      <w:r>
        <w:t xml:space="preserve">): pooled effect thực</w:t>
      </w:r>
      <w:r>
        <w:t xml:space="preserve"> </w:t>
      </w:r>
      <m:oMath>
        <m:r>
          <m:t>r</m:t>
        </m:r>
        <m:r>
          <m:rPr>
            <m:sty m:val="p"/>
          </m:rPr>
          <m:t>=</m:t>
        </m:r>
        <m:r>
          <m:t>0</m:t>
        </m:r>
        <m:r>
          <m:rPr>
            <m:sty m:val="p"/>
          </m:rPr>
          <m:t>,</m:t>
        </m:r>
        <m:r>
          <m:t>074</m:t>
        </m:r>
      </m:oMath>
      <w:r>
        <w:t xml:space="preserve"> </w:t>
      </w:r>
      <w:r>
        <w:t xml:space="preserve">có thể bị thổi phồng so với hiệu ứng dân số thực, với ước lượng bảo thủ hơn là</w:t>
      </w:r>
      <w:r>
        <w:t xml:space="preserve"> </w:t>
      </w:r>
      <m:oMath>
        <m:r>
          <m:t>r</m:t>
        </m:r>
        <m:r>
          <m:rPr>
            <m:sty m:val="p"/>
          </m:rPr>
          <m:t>=</m:t>
        </m:r>
        <m:r>
          <m:t>0</m:t>
        </m:r>
        <m:r>
          <m:rPr>
            <m:sty m:val="p"/>
          </m:rPr>
          <m:t>,</m:t>
        </m:r>
        <m:r>
          <m:t>035</m:t>
        </m:r>
      </m:oMath>
      <w:r>
        <w:t xml:space="preserve">.</w:t>
      </w:r>
    </w:p>
    <w:p>
      <w:r>
        <w:pict>
          <v:rect style="width:0;height:1.5pt" o:hralign="center" o:hrstd="t" o:hr="t"/>
        </w:pict>
      </w:r>
    </w:p>
    <w:bookmarkEnd w:id="24"/>
    <w:bookmarkEnd w:id="25"/>
    <w:bookmarkStart w:id="29" w:name="Xeacdefc5b82dce0a7e96c44195ed4509581c200"/>
    <w:p>
      <w:pPr>
        <w:pStyle w:val="Heading2"/>
      </w:pPr>
      <w:r>
        <w:t xml:space="preserve">4.2 Kết quả bối cảnh thể chế tiên tiến — Đổi mới: Singapore (P4)</w:t>
      </w:r>
    </w:p>
    <w:bookmarkStart w:id="26" w:name="Xda25c8021890fd56b2a556c5d0c8da9469b87e5"/>
    <w:p>
      <w:pPr>
        <w:pStyle w:val="Heading3"/>
      </w:pPr>
      <w:r>
        <w:t xml:space="preserve">4.2.1 Xác nhận quan hệ phi tuyến chữ U ngược</w:t>
      </w:r>
    </w:p>
    <w:p>
      <w:pPr>
        <w:pStyle w:val="FirstParagraph"/>
      </w:pPr>
      <w:r>
        <w:t xml:space="preserve">Phân tích trên mẫu doanh nghiệp Singapore từ dữ liệu WBES với</w:t>
      </w:r>
      <w:r>
        <w:t xml:space="preserve"> </w:t>
      </w:r>
      <m:oMath>
        <m:r>
          <m:t>N</m:t>
        </m:r>
        <m:r>
          <m:rPr>
            <m:sty m:val="p"/>
          </m:rPr>
          <m:t>=</m:t>
        </m:r>
        <m:r>
          <m:t>237</m:t>
        </m:r>
      </m:oMath>
      <w:r>
        <w:t xml:space="preserve"> </w:t>
      </w:r>
      <w:r>
        <w:t xml:space="preserve">doanh nghiệp xuất khẩu xác nhận mối quan hệ phi tuyến (inverted U-shape) giữa FSTS và hiệu quả hoạt động ở mức có ý nghĩa thống kê (</w:t>
      </w:r>
      <m:oMath>
        <m:r>
          <m:t>p</m:t>
        </m:r>
        <m:r>
          <m:rPr>
            <m:sty m:val="p"/>
          </m:rPr>
          <m:t>&lt;</m:t>
        </m:r>
        <m:r>
          <m:rPr>
            <m:sty m:val="p"/>
          </m:rPr>
          <m:t>,</m:t>
        </m:r>
        <m:r>
          <m:t>05</m:t>
        </m:r>
      </m:oMath>
      <w:r>
        <w:t xml:space="preserve">). Mô hình bậc hai với biến FSTS và FSTS</w:t>
      </w:r>
      <m:oMath>
        <m:sSup>
          <m:e>
            <m:r>
              <m:t>​</m:t>
            </m:r>
          </m:e>
          <m:sup>
            <m:r>
              <m:t>2</m:t>
            </m:r>
          </m:sup>
        </m:sSup>
      </m:oMath>
      <w:r>
        <w:t xml:space="preserve"> </w:t>
      </w:r>
      <w:r>
        <w:t xml:space="preserve">cho hệ số bậc hai âm, phù hợp với dạng chữ U ngược như kỳ vọng từ H1 trong khung lý thuyết CDCM.</w:t>
      </w:r>
    </w:p>
    <w:p>
      <w:pPr>
        <w:pStyle w:val="BodyText"/>
      </w:pPr>
      <w:r>
        <w:t xml:space="preserve">Điểm turning point ước lượng được ở mức</w:t>
      </w:r>
      <w:r>
        <w:t xml:space="preserve"> </w:t>
      </w:r>
      <w:r>
        <w:rPr>
          <w:bCs/>
          <w:b/>
        </w:rPr>
        <w:t xml:space="preserve">TP ≈ 82% FSTS</w:t>
      </w:r>
      <w:r>
        <w:t xml:space="preserve"> </w:t>
      </w:r>
      <w:r>
        <w:t xml:space="preserve">— đây là điểm turning point cao nhất trong tất cả các bối cảnh ICRV được phân tích trong luận án. Khoảng tin cậy của turning point rộng (CI: [53%, 253%]), phản ánh hạn chế về quy mô mẫu và thống kê chính xác, nhưng điểm ước lượng trung tâm cho thấy rằng doanh nghiệp Singapore có thể duy trì đà tăng trưởng hiệu quả khi quốc tế hóa ở mức độ rất cao trước khi đạt đỉnh và suy giảm. Điều này nhất quán với lợi thế thể chế đặc thù của Singapore: nền kinh tế mở, hệ thống pháp lý mạnh, cơ sở hạ tầng thương mại hàng đầu thế giới, và mạng lưới thỏa thuận thương mại tự do rộng khắp cho phép giảm chi phí giao dịch xuyên biên giới.</w:t>
      </w:r>
    </w:p>
    <w:bookmarkEnd w:id="26"/>
    <w:bookmarkStart w:id="27" w:name="X86a529485cdbcaa7517ee410d8d7cfe4636a1c0"/>
    <w:p>
      <w:pPr>
        <w:pStyle w:val="Heading3"/>
      </w:pPr>
      <w:r>
        <w:t xml:space="preserve">4.2.2 Điều tiết bởi Digital Adoption Index (DAI)</w:t>
      </w:r>
    </w:p>
    <w:p>
      <w:pPr>
        <w:pStyle w:val="FirstParagraph"/>
      </w:pPr>
      <w:r>
        <w:t xml:space="preserve">Mô hình M5 bổ sung tương tác</w:t>
      </w:r>
      <w:r>
        <w:t xml:space="preserve"> </w:t>
      </w:r>
      <m:oMath>
        <m:r>
          <m:t>F</m:t>
        </m:r>
        <m:r>
          <m:t>S</m:t>
        </m:r>
        <m:r>
          <m:t>T</m:t>
        </m:r>
        <m:r>
          <m:t>S</m:t>
        </m:r>
        <m:r>
          <m:rPr>
            <m:sty m:val="p"/>
          </m:rPr>
          <m:t>×</m:t>
        </m:r>
        <m:r>
          <m:t>D</m:t>
        </m:r>
        <m:r>
          <m:t>A</m:t>
        </m:r>
        <m:r>
          <m:t>I</m:t>
        </m:r>
      </m:oMath>
      <w:r>
        <w:t xml:space="preserve"> </w:t>
      </w:r>
      <w:r>
        <w:t xml:space="preserve">(bao gồm cả Tier-1 và Tier-2 của chỉ số DAI) cho thấy hiệu ứng khuếch đại (amplification) tại mức FSTS cao: hệ số tương tác</w:t>
      </w:r>
      <w:r>
        <w:t xml:space="preserve"> </w:t>
      </w:r>
      <m:oMath>
        <m:r>
          <m:t>F</m:t>
        </m:r>
        <m:r>
          <m:t>S</m:t>
        </m:r>
        <m:r>
          <m:t>T</m:t>
        </m:r>
        <m:sSup>
          <m:e>
            <m:r>
              <m:t>S</m:t>
            </m:r>
          </m:e>
          <m:sup>
            <m:r>
              <m:t>2</m:t>
            </m:r>
          </m:sup>
        </m:sSup>
        <m:r>
          <m:rPr>
            <m:sty m:val="p"/>
          </m:rPr>
          <m:t>×</m:t>
        </m:r>
        <m:r>
          <m:t>D</m:t>
        </m:r>
        <m:r>
          <m:t>A</m:t>
        </m:r>
        <m:r>
          <m:t>I</m:t>
        </m:r>
        <m:r>
          <m:rPr>
            <m:sty m:val="p"/>
          </m:rPr>
          <m:t>&lt;</m:t>
        </m:r>
        <m:r>
          <m:t>0</m:t>
        </m:r>
      </m:oMath>
      <w:r>
        <w:t xml:space="preserve"> </w:t>
      </w:r>
      <w:r>
        <w:t xml:space="preserve">và có ý nghĩa thống kê (</w:t>
      </w:r>
      <m:oMath>
        <m:r>
          <m:t>p</m:t>
        </m:r>
        <m:r>
          <m:rPr>
            <m:sty m:val="p"/>
          </m:rPr>
          <m:t>&lt;</m:t>
        </m:r>
        <m:r>
          <m:rPr>
            <m:sty m:val="p"/>
          </m:rPr>
          <m:t>,</m:t>
        </m:r>
        <m:r>
          <m:t>05</m:t>
        </m:r>
      </m:oMath>
      <w:r>
        <w:t xml:space="preserve">). Cụ thể, ở mức độ quốc tế hóa cao, doanh nghiệp Singapore có năng lực chấp nhận số (digital adoption) cao hơn duy trì hiệu quả tốt hơn so với doanh nghiệp có mức DAI thấp hơn, cho thấy DAI đóng vai trò nguồn lực bổ trợ (situational resource) làm chậm đà suy giảm phía bên phải của đường phi tuyến.</w:t>
      </w:r>
    </w:p>
    <w:p>
      <w:pPr>
        <w:pStyle w:val="BodyText"/>
      </w:pPr>
      <w:r>
        <w:t xml:space="preserve">Kết quả này có ý nghĩa lý thuyết quan trọng: ở bối cảnh Advanced Innovation (Nhóm I), nơi cơ sở hạ tầng số đã phát triển đầy đủ, DAI phát huy vai trò điều tiết đáng kể trong quá trình quốc tế hóa. Kết quả P7 (49 nền kinh tế) sau đó xác nhận DAI có level effect phổ quát (β=+0,155***) và cơ chế "digital shield" — DAI×ICRV p=.012, mạnh nhất tại các bối cảnh thể chế yếu (Frontier/SIDS), không chỉ Advanced.</w:t>
      </w:r>
    </w:p>
    <w:bookmarkEnd w:id="27"/>
    <w:bookmarkStart w:id="28" w:name="Xbcac39ed7d72f54219e0a2446248eea6d1a660c"/>
    <w:p>
      <w:pPr>
        <w:pStyle w:val="Heading3"/>
      </w:pPr>
      <w:r>
        <w:t xml:space="preserve">4.2.3 Giới hạn suy luận và cảnh báo thống kê</w:t>
      </w:r>
    </w:p>
    <w:p>
      <w:pPr>
        <w:pStyle w:val="FirstParagraph"/>
      </w:pPr>
      <w:r>
        <w:t xml:space="preserve">Cần nhấn mạnh rằng kết quả Singapore là</w:t>
      </w:r>
      <w:r>
        <w:t xml:space="preserve"> </w:t>
      </w:r>
      <w:r>
        <w:rPr>
          <w:bCs/>
          <w:b/>
        </w:rPr>
        <w:t xml:space="preserve">ranh giới suy luận</w:t>
      </w:r>
      <w:r>
        <w:t xml:space="preserve"> </w:t>
      </w:r>
      <w:r>
        <w:t xml:space="preserve">(inferential bounds) do hạn chế nghiêm trọng về quy mô mẫu:</w:t>
      </w:r>
      <w:r>
        <w:t xml:space="preserve"> </w:t>
      </w:r>
      <m:oMath>
        <m:r>
          <m:t>N</m:t>
        </m:r>
        <m:r>
          <m:rPr>
            <m:sty m:val="p"/>
          </m:rPr>
          <m:t>=</m:t>
        </m:r>
        <m:r>
          <m:t>237</m:t>
        </m:r>
      </m:oMath>
      <w:r>
        <w:t xml:space="preserve"> </w:t>
      </w:r>
      <w:r>
        <w:t xml:space="preserve">quan sát, chỉ gồm các doanh nghiệp xuất khẩu, dẫn đến power thống kê ước tính chỉ đạt khoảng 16%. Điều này có nghĩa là ngay cả khi hiệu ứng thực sự tồn tại, khả năng phát hiện nó với mẫu nhỏ như vậy rất hạn chế. Luận án diễn giải kết quả Singapore như</w:t>
      </w:r>
      <w:r>
        <w:t xml:space="preserve"> </w:t>
      </w:r>
      <w:r>
        <w:rPr>
          <w:iCs/>
          <w:i/>
        </w:rPr>
        <w:t xml:space="preserve">bằng chứng phù hợp nhưng chưa kết luận</w:t>
      </w:r>
      <w:r>
        <w:t xml:space="preserve"> </w:t>
      </w:r>
      <w:r>
        <w:t xml:space="preserve">(consistent but underpowered evidence) — không bác bỏ giả thuyết nhưng cũng không tuyên bố xác nhận dứt khoát.</w:t>
      </w:r>
    </w:p>
    <w:p>
      <w:r>
        <w:pict>
          <v:rect style="width:0;height:1.5pt" o:hralign="center" o:hrstd="t" o:hr="t"/>
        </w:pict>
      </w:r>
    </w:p>
    <w:bookmarkEnd w:id="28"/>
    <w:bookmarkEnd w:id="29"/>
    <w:bookmarkStart w:id="33" w:name="Xc2b143d4aef099126e1356c1323f37e08d3ab3f"/>
    <w:p>
      <w:pPr>
        <w:pStyle w:val="Heading2"/>
      </w:pPr>
      <w:r>
        <w:t xml:space="preserve">4.3 Kết quả bối cảnh thể chế trung bình cao: Trung Quốc, 2012–2024 (P5)</w:t>
      </w:r>
    </w:p>
    <w:bookmarkStart w:id="30" w:name="X273c0712ac0fc836e0ec9604b8678a3ab65ab8e"/>
    <w:p>
      <w:pPr>
        <w:pStyle w:val="Heading3"/>
      </w:pPr>
      <w:r>
        <w:t xml:space="preserve">4.3.1 Xác nhận quan hệ phi tuyến và turning point</w:t>
      </w:r>
    </w:p>
    <w:p>
      <w:pPr>
        <w:pStyle w:val="FirstParagraph"/>
      </w:pPr>
      <w:r>
        <w:t xml:space="preserve">Phân tích hai giai đoạn trên dữ liệu WBES Trung Quốc (Nhóm III — Upper-middle) giai đoạn 2012–2024 xác nhận dạng quan hệ phi tuyến chữ U ngược giữa FSTS và hiệu quả hoạt động kinh doanh. Điểm turning point được ước lượng tại:</w:t>
      </w:r>
    </w:p>
    <w:p>
      <w:pPr>
        <w:numPr>
          <w:ilvl w:val="0"/>
          <w:numId w:val="1002"/>
        </w:numPr>
        <w:pStyle w:val="Compact"/>
      </w:pPr>
      <w:r>
        <w:rPr>
          <w:bCs/>
          <w:b/>
        </w:rPr>
        <w:t xml:space="preserve">Năm 2012</w:t>
      </w:r>
      <w:r>
        <w:t xml:space="preserve">: TP = 49,37% FSTS</w:t>
      </w:r>
    </w:p>
    <w:p>
      <w:pPr>
        <w:numPr>
          <w:ilvl w:val="0"/>
          <w:numId w:val="1002"/>
        </w:numPr>
        <w:pStyle w:val="Compact"/>
      </w:pPr>
      <w:r>
        <w:rPr>
          <w:bCs/>
          <w:b/>
        </w:rPr>
        <w:t xml:space="preserve">Năm 2024</w:t>
      </w:r>
      <w:r>
        <w:t xml:space="preserve">: TP = 47,19% FSTS</w:t>
      </w:r>
    </w:p>
    <w:p>
      <w:pPr>
        <w:numPr>
          <w:ilvl w:val="0"/>
          <w:numId w:val="1002"/>
        </w:numPr>
        <w:pStyle w:val="Compact"/>
      </w:pPr>
      <w:r>
        <w:rPr>
          <w:bCs/>
          <w:b/>
        </w:rPr>
        <w:t xml:space="preserve">Pooled (toàn mẫu)</w:t>
      </w:r>
      <w:r>
        <w:t xml:space="preserve">: TP = 48,78% FSTS</w:t>
      </w:r>
    </w:p>
    <w:p>
      <w:pPr>
        <w:pStyle w:val="FirstParagraph"/>
      </w:pPr>
      <w:r>
        <w:t xml:space="preserve">Các con số này cho thấy doanh nghiệp Trung Quốc đạt hiệu quả tối ưu khi tỷ lệ doanh thu xuất khẩu ở mức gần 49%, một mức độ tập trung quốc tế vừa phải trong bối cảnh nền kinh tế nội địa khổng lồ của Trung Quốc cũng cung cấp cơ hội tăng trưởng song song.</w:t>
      </w:r>
    </w:p>
    <w:bookmarkEnd w:id="30"/>
    <w:bookmarkStart w:id="31" w:name="X91c5789c1db8c4d2b037a8ed3d356867aa44728"/>
    <w:p>
      <w:pPr>
        <w:pStyle w:val="Heading3"/>
      </w:pPr>
      <w:r>
        <w:t xml:space="preserve">4.3.2 Kiểm định tính ổn định theo thời gian — Temporal Stability</w:t>
      </w:r>
    </w:p>
    <w:p>
      <w:pPr>
        <w:pStyle w:val="FirstParagraph"/>
      </w:pPr>
      <w:r>
        <w:t xml:space="preserve">Luận án đặt câu hỏi thực nghiệm quan trọng: liệu hình dạng phi tuyến và điểm turning point có thay đổi qua thập kỷ 2012–2024 — giai đoạn Trung Quốc chứng kiến nhiều thay đổi chính sách thương mại, căng thẳng địa chính trị và chuyển đổi số mạnh mẽ? Kiểm định Paternoster cho kết quả</w:t>
      </w:r>
      <w:r>
        <w:t xml:space="preserve"> </w:t>
      </w:r>
      <m:oMath>
        <m:r>
          <m:t>z</m:t>
        </m:r>
        <m:r>
          <m:rPr>
            <m:sty m:val="p"/>
          </m:rPr>
          <m:t>=</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w:t>
      </w:r>
      <w:r>
        <w:t xml:space="preserve">— không có ý nghĩa thống kê. Điều này xác nhận rằng</w:t>
      </w:r>
      <w:r>
        <w:t xml:space="preserve"> </w:t>
      </w:r>
      <w:r>
        <w:rPr>
          <w:bCs/>
          <w:b/>
        </w:rPr>
        <w:t xml:space="preserve">điểm turning point ổn định qua thời gian</w:t>
      </w:r>
      <w:r>
        <w:t xml:space="preserve">: sự dịch chuyển từ TP = 49,37% (2012) xuống TP = 47,19% (2024) là không đáng kể về mặt thống kê.</w:t>
      </w:r>
    </w:p>
    <w:p>
      <w:pPr>
        <w:pStyle w:val="BodyText"/>
      </w:pPr>
      <w:r>
        <w:t xml:space="preserve">Kiểm định tương tác thời gian (Temporal H6):</w:t>
      </w:r>
      <w:r>
        <w:t xml:space="preserve"> </w:t>
      </w:r>
      <m:oMath>
        <m:r>
          <m:t>F</m:t>
        </m:r>
        <m:r>
          <m:rPr>
            <m:sty m:val="p"/>
          </m:rPr>
          <m:t>=</m:t>
        </m:r>
        <m:r>
          <m:t>1</m:t>
        </m:r>
        <m:r>
          <m:rPr>
            <m:sty m:val="p"/>
          </m:rPr>
          <m:t>,</m:t>
        </m:r>
        <m:r>
          <m:t>83</m:t>
        </m:r>
      </m:oMath>
      <w:r>
        <w:t xml:space="preserve">,</w:t>
      </w:r>
      <w:r>
        <w:t xml:space="preserve"> </w:t>
      </w:r>
      <m:oMath>
        <m:r>
          <m:t>p</m:t>
        </m:r>
        <m:r>
          <m:rPr>
            <m:sty m:val="p"/>
          </m:rPr>
          <m:t>=</m:t>
        </m:r>
        <m:r>
          <m:rPr>
            <m:sty m:val="p"/>
          </m:rPr>
          <m:t>,</m:t>
        </m:r>
        <m:r>
          <m:t>176</m:t>
        </m:r>
      </m:oMath>
      <w:r>
        <w:t xml:space="preserve"> </w:t>
      </w:r>
      <w:r>
        <w:t xml:space="preserve">— không có ý nghĩa thống kê, nghĩa là hình dạng tổng thể của quan hệ phi tuyến không biến đổi đáng kể qua giai đoạn phân tích.</w:t>
      </w:r>
    </w:p>
    <w:p>
      <w:pPr>
        <w:pStyle w:val="BodyText"/>
      </w:pPr>
      <w:r>
        <w:t xml:space="preserve">Phát hiện này trái ngược với H6 trong khung lý thuyết (temporal heterogeneity), nhưng lại có giá trị lý thuyết riêng: nó cho thấy rằng trong bối cảnh Upper-middle như Trung Quốc, tuy có nhiều biến động về chính sách và môi trường kinh doanh, cơ chế căn bản của quan hệ I→P vẫn duy trì tính ổn định đáng kể. Điều này có thể phản ánh sự bù trừ giữa các lực lượng: chi phí thích ứng tăng lên do chính sách thương mại khó đoán có thể được bù đắp bởi năng lực tổ chức ngày càng trưởng thành của các doanh nghiệp xuất khẩu Trung Quốc.</w:t>
      </w:r>
    </w:p>
    <w:bookmarkEnd w:id="31"/>
    <w:bookmarkStart w:id="32" w:name="Xf4c58dd74d18f0c94fb70938746fcab2bcc680b"/>
    <w:p>
      <w:pPr>
        <w:pStyle w:val="Heading3"/>
      </w:pPr>
      <w:r>
        <w:t xml:space="preserve">4.3.3 Vai trò của TCI và DAI</w:t>
      </w:r>
    </w:p>
    <w:p>
      <w:pPr>
        <w:pStyle w:val="FirstParagraph"/>
      </w:pPr>
      <w:r>
        <w:t xml:space="preserve">Tương tác</w:t>
      </w:r>
      <w:r>
        <w:t xml:space="preserve"> </w:t>
      </w:r>
      <m:oMath>
        <m:r>
          <m:t>F</m:t>
        </m:r>
        <m:r>
          <m:t>S</m:t>
        </m:r>
        <m:r>
          <m:t>T</m:t>
        </m:r>
        <m:r>
          <m:t>S</m:t>
        </m:r>
        <m:r>
          <m:rPr>
            <m:sty m:val="p"/>
          </m:rPr>
          <m:t>×</m:t>
        </m:r>
        <m:r>
          <m:t>T</m:t>
        </m:r>
        <m:r>
          <m:t>C</m:t>
        </m:r>
        <m:r>
          <m:t>I</m:t>
        </m:r>
      </m:oMath>
      <w:r>
        <w:t xml:space="preserve"> </w:t>
      </w:r>
      <w:r>
        <w:t xml:space="preserve">không đạt ý nghĩa thống kê (null moderation,</w:t>
      </w:r>
      <w:r>
        <w:t xml:space="preserve"> </w:t>
      </w:r>
      <m:oMath>
        <m:r>
          <m:t>p</m:t>
        </m:r>
        <m:r>
          <m:rPr>
            <m:sty m:val="p"/>
          </m:rPr>
          <m:t>&gt;</m:t>
        </m:r>
        <m:r>
          <m:rPr>
            <m:sty m:val="p"/>
          </m:rPr>
          <m:t>,</m:t>
        </m:r>
        <m:r>
          <m:t>10</m:t>
        </m:r>
      </m:oMath>
      <w:r>
        <w:t xml:space="preserve">), cho thấy Technological Capability Index không phát huy vai trò điều tiết đáng kể ở bối cảnh Trung Quốc theo mô hình P5. Tương tự, DAI cũng không cho thấy điều tiết có ý nghĩa trong bối cảnh này. Kết quả null về moderation tại Trung Quốc có thể phản ánh thực tế rằng năng lực công nghệ đã được phân phối tương đối đồng đều hơn trong mẫu doanh nghiệp xuất khẩu Trung Quốc, làm giảm phương sai đủ để phát hiện hiệu ứng điều tiết.</w:t>
      </w:r>
    </w:p>
    <w:p>
      <w:r>
        <w:pict>
          <v:rect style="width:0;height:1.5pt" o:hralign="center" o:hrstd="t" o:hr="t"/>
        </w:pict>
      </w:r>
    </w:p>
    <w:bookmarkEnd w:id="32"/>
    <w:bookmarkEnd w:id="33"/>
    <w:bookmarkStart w:id="38" w:name="X4112adf63c0c5d0129994928f00251aa7b7359c"/>
    <w:p>
      <w:pPr>
        <w:pStyle w:val="Heading2"/>
      </w:pPr>
      <w:r>
        <w:t xml:space="preserve">4.4 Kết quả bối cảnh chuyển đổi bậc thấp—trung: Việt Nam (P3)</w:t>
      </w:r>
    </w:p>
    <w:bookmarkStart w:id="34" w:name="X5d87cdb499de6203259c1e8eff13947f35772a8"/>
    <w:p>
      <w:pPr>
        <w:pStyle w:val="Heading3"/>
      </w:pPr>
      <w:r>
        <w:t xml:space="preserve">4.4.1 Xác nhận quan hệ phi tuyến và hệ số hồi quy</w:t>
      </w:r>
    </w:p>
    <w:p>
      <w:pPr>
        <w:pStyle w:val="FirstParagraph"/>
      </w:pPr>
      <w:r>
        <w:t xml:space="preserve">Phân tích hồi quy bảng (panel regression) trên ba làn sóng khảo sát WBES Việt Nam (2009, 2015, 2023) xác nhận dạng phi tuyến chữ U ngược. Mô hình M4 — mô hình chính — cho kết quả:</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431</m:t>
          </m:r>
          <m:r>
            <m:rPr>
              <m:sty m:val="p"/>
            </m:rPr>
            <m:t>,</m:t>
          </m:r>
          <m:r>
            <m:t> </m:t>
          </m:r>
          <m:acc>
            <m:accPr>
              <m:chr m:val="̂"/>
            </m:accPr>
            <m:e>
              <m:r>
                <m:t>β</m:t>
              </m:r>
            </m:e>
          </m:acc>
          <m:d>
            <m:dPr>
              <m:begChr m:val="("/>
              <m:endChr m:val=")"/>
              <m:sepChr m:val=""/>
              <m:grow/>
            </m:dPr>
            <m:e>
              <m:sSubSup>
                <m:e>
                  <m:r>
                    <m:rPr>
                      <m:nor/>
                      <m:sty m:val="p"/>
                    </m:rPr>
                    <m:t>FSTS</m:t>
                  </m:r>
                </m:e>
                <m:sub>
                  <m:r>
                    <m:t>c</m:t>
                  </m:r>
                </m:sub>
                <m:sup>
                  <m:r>
                    <m:t>2</m:t>
                  </m:r>
                </m:sup>
              </m:sSubSup>
            </m:e>
          </m:d>
          <m:r>
            <m:rPr>
              <m:sty m:val="p"/>
            </m:rPr>
            <m:t>=</m:t>
          </m:r>
          <m:r>
            <m:rPr>
              <m:sty m:val="p"/>
            </m:rPr>
            <m:t>−</m:t>
          </m:r>
          <m:r>
            <m:t>0</m:t>
          </m:r>
          <m:r>
            <m:rPr>
              <m:sty m:val="p"/>
            </m:rPr>
            <m:t>,</m:t>
          </m:r>
          <m:r>
            <m:t>553</m:t>
          </m:r>
        </m:oMath>
      </m:oMathPara>
    </w:p>
    <w:p>
      <w:pPr>
        <w:pStyle w:val="FirstParagraph"/>
      </w:pPr>
      <w:r>
        <w:t xml:space="preserve">Cả hai hệ số đều có ý nghĩa thống kê, với hệ số bậc nhất dương và bậc hai âm xác nhận đường cong chữ U ngược. Kiểm định hình thức bằng phương pháp Lind–Mehlum (U-test) cho kết quả</w:t>
      </w:r>
      <w:r>
        <w:t xml:space="preserve"> </w:t>
      </w:r>
      <m:oMath>
        <m:r>
          <m:t>p</m:t>
        </m:r>
        <m:r>
          <m:rPr>
            <m:sty m:val="p"/>
          </m:rPr>
          <m:t>&lt;</m:t>
        </m:r>
        <m:r>
          <m:rPr>
            <m:sty m:val="p"/>
          </m:rPr>
          <m:t>,</m:t>
        </m:r>
        <m:r>
          <m:t>001</m:t>
        </m:r>
      </m:oMath>
      <w:r>
        <w:t xml:space="preserve"> </w:t>
      </w:r>
      <w:r>
        <w:t xml:space="preserve">— bằng chứng thống kê mạnh nhất trong tất cả các mẫu quốc gia của luận án.</w:t>
      </w:r>
    </w:p>
    <w:bookmarkEnd w:id="34"/>
    <w:bookmarkStart w:id="35" w:name="X2727d61a40bd80d560461f50cdc721a390ffad2"/>
    <w:p>
      <w:pPr>
        <w:pStyle w:val="Heading3"/>
      </w:pPr>
      <w:r>
        <w:t xml:space="preserve">4.4.2 Điểm turning point theo làn sóng</w:t>
      </w:r>
    </w:p>
    <w:p>
      <w:pPr>
        <w:pStyle w:val="FirstParagraph"/>
      </w:pPr>
      <w:r>
        <w:t xml:space="preserve">Turning point được ước lượng riêng cho từng làn sóng và cho pooled: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Làn sóng</w:t>
            </w:r>
          </w:p>
        </w:tc>
        <w:tc>
          <w:tcPr/>
          <w:p>
            <w:pPr>
              <w:pStyle w:val="Compact"/>
              <w:jc w:val="left"/>
            </w:pPr>
            <w:r>
              <w:t xml:space="preserve">Turning Point</w:t>
            </w:r>
          </w:p>
        </w:tc>
      </w:tr>
      <w:tr>
        <w:tc>
          <w:tcPr/>
          <w:p>
            <w:pPr>
              <w:pStyle w:val="Compact"/>
              <w:jc w:val="left"/>
            </w:pPr>
            <w:r>
              <w:t xml:space="preserve">2009</w:t>
            </w:r>
          </w:p>
        </w:tc>
        <w:tc>
          <w:tcPr/>
          <w:p>
            <w:pPr>
              <w:pStyle w:val="Compact"/>
              <w:jc w:val="left"/>
            </w:pPr>
            <w:r>
              <w:t xml:space="preserve">46,2% FSTS</w:t>
            </w:r>
          </w:p>
        </w:tc>
      </w:tr>
      <w:tr>
        <w:tc>
          <w:tcPr/>
          <w:p>
            <w:pPr>
              <w:pStyle w:val="Compact"/>
              <w:jc w:val="left"/>
            </w:pPr>
            <w:r>
              <w:t xml:space="preserve">2015</w:t>
            </w:r>
          </w:p>
        </w:tc>
        <w:tc>
          <w:tcPr/>
          <w:p>
            <w:pPr>
              <w:pStyle w:val="Compact"/>
              <w:jc w:val="left"/>
            </w:pPr>
            <w:r>
              <w:t xml:space="preserve">39,3% FSTS</w:t>
            </w:r>
          </w:p>
        </w:tc>
      </w:tr>
      <w:tr>
        <w:tc>
          <w:tcPr/>
          <w:p>
            <w:pPr>
              <w:pStyle w:val="Compact"/>
              <w:jc w:val="left"/>
            </w:pPr>
            <w:r>
              <w:t xml:space="preserve">2023</w:t>
            </w:r>
          </w:p>
        </w:tc>
        <w:tc>
          <w:tcPr/>
          <w:p>
            <w:pPr>
              <w:pStyle w:val="Compact"/>
              <w:jc w:val="left"/>
            </w:pPr>
            <w:r>
              <w:t xml:space="preserve">41,6% FSTS</w:t>
            </w:r>
          </w:p>
        </w:tc>
      </w:tr>
      <w:tr>
        <w:tc>
          <w:tcPr/>
          <w:p>
            <w:pPr>
              <w:pStyle w:val="Compact"/>
              <w:jc w:val="left"/>
            </w:pPr>
            <w:r>
              <w:t xml:space="preserve">Pooled</w:t>
            </w:r>
          </w:p>
        </w:tc>
        <w:tc>
          <w:tcPr/>
          <w:p>
            <w:pPr>
              <w:pStyle w:val="Compact"/>
              <w:jc w:val="left"/>
            </w:pPr>
            <w:r>
              <w:t xml:space="preserve">39,7% FSTS</w:t>
            </w:r>
          </w:p>
        </w:tc>
      </w:tr>
    </w:tbl>
    <w:p>
      <w:pPr>
        <w:pStyle w:val="BodyText"/>
      </w:pPr>
      <w:r>
        <w:t xml:space="preserve">Điểm turning point trong khoảng</w:t>
      </w:r>
      <w:r>
        <w:t xml:space="preserve"> </w:t>
      </w:r>
      <w:r>
        <w:rPr>
          <w:bCs/>
          <w:b/>
        </w:rPr>
        <w:t xml:space="preserve">39–46% FSTS</w:t>
      </w:r>
      <w:r>
        <w:t xml:space="preserve"> </w:t>
      </w:r>
      <w:r>
        <w:t xml:space="preserve">đặt Việt Nam ở mức "thấp hơn đáng kể" so với Singapore (TP ≈ 82%) và tương đương hoặc thấp hơn Trung Quốc (TP ≈ 48,78%). Điều này phản ánh chi phí quốc tế hóa cao hơn trong bối cảnh thể chế chuyển đổi: môi trường thể chế chưa hoàn thiện, khoảng cách pháp lý và rào cản thông tin lớn hơn khiến điểm turning point dịch trái (thấp hơn) trên trục FSTS.</w:t>
      </w:r>
    </w:p>
    <w:p>
      <w:pPr>
        <w:pStyle w:val="BodyText"/>
      </w:pPr>
      <w:r>
        <w:t xml:space="preserve">Kiểm định Paternoster so sánh turning point giữa 2009 và 2015 cho kết quả</w:t>
      </w:r>
      <w:r>
        <w:t xml:space="preserve"> </w:t>
      </w:r>
      <m:oMath>
        <m:r>
          <m:t>z</m:t>
        </m:r>
        <m:r>
          <m:rPr>
            <m:sty m:val="p"/>
          </m:rPr>
          <m:t>=</m:t>
        </m:r>
        <m:r>
          <m:t>3</m:t>
        </m:r>
        <m:r>
          <m:rPr>
            <m:sty m:val="p"/>
          </m:rPr>
          <m:t>,</m:t>
        </m:r>
        <m:r>
          <m:t>353</m:t>
        </m:r>
      </m:oMath>
      <w:r>
        <w:t xml:space="preserve">,</w:t>
      </w:r>
      <w:r>
        <w:t xml:space="preserve"> </w:t>
      </w:r>
      <m:oMath>
        <m:r>
          <m:t>p</m:t>
        </m:r>
        <m:r>
          <m:rPr>
            <m:sty m:val="p"/>
          </m:rPr>
          <m:t>&lt;</m:t>
        </m:r>
        <m:r>
          <m:rPr>
            <m:sty m:val="p"/>
          </m:rPr>
          <m:t>,</m:t>
        </m:r>
        <m:r>
          <m:t>001</m:t>
        </m:r>
      </m:oMath>
      <w:r>
        <w:t xml:space="preserve"> </w:t>
      </w:r>
      <w:r>
        <w:t xml:space="preserve">— có ý nghĩa thống kê, cho thấy turning point đã dịch chuyển đáng kể từ 46,2% xuống 39,3% giữa hai làn sóng. Điều này có thể phản ánh sự thay đổi trong cấu trúc doanh nghiệp xuất khẩu Việt Nam sau giai đoạn hội nhập WTO và gia nhập nhiều hiệp định thương mại tự do, kéo theo làn sóng gia công xuất khẩu quy mô lớn nhưng biên lợi nhuận ngày càng cạnh tranh.</w:t>
      </w:r>
    </w:p>
    <w:bookmarkEnd w:id="35"/>
    <w:bookmarkStart w:id="36" w:name="Xd9cda3e330433fda7875e786e5594a490be6989"/>
    <w:p>
      <w:pPr>
        <w:pStyle w:val="Heading3"/>
      </w:pPr>
      <w:r>
        <w:t xml:space="preserve">4.4.3 Điều tiết bởi TCI — Tích cực và có ý nghĩa</w:t>
      </w:r>
    </w:p>
    <w:p>
      <w:pPr>
        <w:pStyle w:val="FirstParagraph"/>
      </w:pPr>
      <w:r>
        <w:t xml:space="preserve">Mô hình M6 với tương tác</w:t>
      </w:r>
      <w:r>
        <w:t xml:space="preserve"> </w:t>
      </w:r>
      <m:oMath>
        <m:r>
          <m:t>F</m:t>
        </m:r>
        <m:r>
          <m:t>S</m:t>
        </m:r>
        <m:r>
          <m:t>T</m:t>
        </m:r>
        <m:r>
          <m:t>S</m:t>
        </m:r>
        <m:r>
          <m:rPr>
            <m:sty m:val="p"/>
          </m:rPr>
          <m:t>×</m:t>
        </m:r>
        <m:r>
          <m:t>T</m:t>
        </m:r>
        <m:r>
          <m:t>C</m:t>
        </m:r>
        <m:r>
          <m:t>I</m:t>
        </m:r>
      </m:oMath>
      <w:r>
        <w:t xml:space="preserve"> </w:t>
      </w:r>
      <w:r>
        <w:t xml:space="preserve">cho kết quả</w:t>
      </w:r>
      <w:r>
        <w:t xml:space="preserve"> </w:t>
      </w:r>
      <w:r>
        <w:rPr>
          <w:bCs/>
          <w:b/>
        </w:rPr>
        <w:t xml:space="preserve">dương và có ý nghĩa thống kê</w:t>
      </w:r>
      <w:r>
        <w:t xml:space="preserve">: TCI làm nâng cao mặt bằng hiệu quả và khuếch đại tác động tích cực của quốc tế hóa. Nói cách khác, doanh nghiệp Việt Nam có năng lực công nghệ tốt hơn (đo bằng TCI) đạt hiệu quả cao hơn từ quá trình quốc tế hóa — nhất quán với H2 trong khung lý thuyết CDCM.</w:t>
      </w:r>
    </w:p>
    <w:bookmarkEnd w:id="36"/>
    <w:bookmarkStart w:id="37" w:name="Xaf21f65b6a144c5de09c82b1caee2ca2acd1643"/>
    <w:p>
      <w:pPr>
        <w:pStyle w:val="Heading3"/>
      </w:pPr>
      <w:r>
        <w:t xml:space="preserve">4.4.4 Điều tiết bởi DAI — Không có ý nghĩa</w:t>
      </w:r>
    </w:p>
    <w:p>
      <w:pPr>
        <w:pStyle w:val="FirstParagraph"/>
      </w:pPr>
      <w:r>
        <w:t xml:space="preserve">Mô hình M5 với tương tác</w:t>
      </w:r>
      <w:r>
        <w:t xml:space="preserve"> </w:t>
      </w:r>
      <m:oMath>
        <m:r>
          <m:t>F</m:t>
        </m:r>
        <m:r>
          <m:t>S</m:t>
        </m:r>
        <m:r>
          <m:t>T</m:t>
        </m:r>
        <m:r>
          <m:t>S</m:t>
        </m:r>
        <m:r>
          <m:rPr>
            <m:sty m:val="p"/>
          </m:rPr>
          <m:t>×</m:t>
        </m:r>
        <m:r>
          <m:t>D</m:t>
        </m:r>
        <m:r>
          <m:t>A</m:t>
        </m:r>
        <m:r>
          <m:t>I</m:t>
        </m:r>
      </m:oMath>
      <w:r>
        <w:t xml:space="preserve"> </w:t>
      </w:r>
      <w:r>
        <w:t xml:space="preserve">(chỉ bao gồm Tier-1 DAI do giới hạn đo lường WBES trong các làn sóng này) cho kết quả yếu dương nhưng không có ý nghĩa thống kê. Kết quả này không nhất thiết là bác bỏ H3, mà có thể phản ánh hạn chế về đo lường: Tier-1 DAI chỉ nắm bắt mức độ chấp nhận số bề mặt (website, email, online sales) chứ không đo lường được chiều sâu năng lực số. Với dữ liệu WBES Việt Nam chỉ cung cấp Tier-1, không đủ phân biệt để phát hiện hiệu ứng điều tiết tinh tế hơn.</w:t>
      </w:r>
    </w:p>
    <w:p>
      <w:r>
        <w:pict>
          <v:rect style="width:0;height:1.5pt" o:hralign="center" o:hrstd="t" o:hr="t"/>
        </w:pict>
      </w:r>
    </w:p>
    <w:bookmarkEnd w:id="37"/>
    <w:bookmarkEnd w:id="38"/>
    <w:bookmarkStart w:id="42" w:name="Xf0c9d964765e7fcecebb3e563eda8ebaaf5526d"/>
    <w:p>
      <w:pPr>
        <w:pStyle w:val="Heading2"/>
      </w:pPr>
      <w:r>
        <w:t xml:space="preserve">4.5 Kết quả kiểm định toàn mẫu đa bối cảnh châu Á (P7)</w:t>
      </w:r>
    </w:p>
    <w:bookmarkStart w:id="39" w:name="Xe92da71a69b2d6e7758f9289fda0742bd2234e3"/>
    <w:p>
      <w:pPr>
        <w:pStyle w:val="Heading3"/>
      </w:pPr>
      <w:r>
        <w:t xml:space="preserve">4.5.1 Mẫu và mô hình chính</w:t>
      </w:r>
    </w:p>
    <w:p>
      <w:pPr>
        <w:pStyle w:val="FirstParagraph"/>
      </w:pPr>
      <w:r>
        <w:t xml:space="preserve">Phân tích P7 là kiểm định quy mô lớn nhất của luận án, kết hợp tất cả các bối cảnh ICRV trong khu vực châu Á và Thái Bình Dương với</w:t>
      </w:r>
      <w:r>
        <w:t xml:space="preserve"> </w:t>
      </w:r>
      <m:oMath>
        <m:r>
          <m:t>N</m:t>
        </m:r>
        <m:r>
          <m:rPr>
            <m:sty m:val="p"/>
          </m:rPr>
          <m:t>=</m:t>
        </m:r>
        <m:r>
          <m:t>84.910</m:t>
        </m:r>
      </m:oMath>
      <w:r>
        <w:rPr>
          <w:bCs/>
          <w:b/>
        </w:rPr>
        <w:t xml:space="preserve"> </w:t>
      </w:r>
      <w:r>
        <w:rPr>
          <w:bCs/>
          <w:b/>
        </w:rPr>
        <w:t xml:space="preserve">quan sát</w:t>
      </w:r>
      <w:r>
        <w:t xml:space="preserve"> </w:t>
      </w:r>
      <w:r>
        <w:t xml:space="preserve">(mô hình M2 — quadratic FSTS). Khi bổ sung đầy đủ biến kiểm soát, mẫu hồi quy là</w:t>
      </w:r>
      <w:r>
        <w:t xml:space="preserve"> </w:t>
      </w:r>
      <m:oMath>
        <m:r>
          <m:t>N</m:t>
        </m:r>
        <m:r>
          <m:rPr>
            <m:sty m:val="p"/>
          </m:rPr>
          <m:t>=</m:t>
        </m:r>
        <m:r>
          <m:t>38.342</m:t>
        </m:r>
      </m:oMath>
      <w:r>
        <w:t xml:space="preserve"> </w:t>
      </w:r>
      <w:r>
        <w:t xml:space="preserve">(M3–M5). Mô hình M5 với country fixed effects và year fixed effects — cấu hình mạnh nhất về kiểm soát phương sai không quan sát (</w:t>
      </w:r>
      <m:oMath>
        <m:sSup>
          <m:e>
            <m:r>
              <m:rPr>
                <m:nor/>
                <m:sty m:val="p"/>
              </m:rPr>
              <m:t>adjR</m:t>
            </m:r>
          </m:e>
          <m:sup>
            <m:r>
              <m:t>2</m:t>
            </m:r>
          </m:sup>
        </m:sSup>
        <m:r>
          <m:rPr>
            <m:sty m:val="p"/>
          </m:rPr>
          <m:t>=</m:t>
        </m:r>
        <m:r>
          <m:rPr>
            <m:sty m:val="p"/>
          </m:rPr>
          <m:t>,</m:t>
        </m:r>
        <m:r>
          <m:t>677</m:t>
        </m:r>
      </m:oMath>
      <w:r>
        <w:t xml:space="preserve">) — ước lượng turning point tổng thể (pooled):</w:t>
      </w:r>
    </w:p>
    <w:p>
      <w:pPr>
        <w:pStyle w:val="BodyText"/>
      </w:pPr>
      <m:oMathPara>
        <m:oMathParaPr>
          <m:jc m:val="center"/>
        </m:oMathParaPr>
        <m:oMath>
          <m:r>
            <m:rPr>
              <m:nor/>
              <m:sty m:val="p"/>
            </m:rPr>
            <m:t>TP(M5)</m:t>
          </m:r>
          <m:r>
            <m:rPr>
              <m:sty m:val="p"/>
            </m:rPr>
            <m:t>=</m:t>
          </m:r>
          <m:r>
            <m:t>40</m:t>
          </m:r>
          <m:r>
            <m:rPr>
              <m:sty m:val="p"/>
            </m:rPr>
            <m:t>,</m:t>
          </m:r>
          <m:r>
            <m:t>0</m:t>
          </m:r>
          <m:r>
            <m:rPr>
              <m:sty m:val="p"/>
            </m:rPr>
            <m:t>%</m:t>
          </m:r>
          <m:r>
            <m:rPr>
              <m:nor/>
              <m:sty m:val="p"/>
            </m:rPr>
            <m:t> FSTS</m:t>
          </m:r>
          <m:r>
            <m:t> </m:t>
          </m:r>
          <m:d>
            <m:dPr>
              <m:begChr m:val="("/>
              <m:endChr m:val=")"/>
              <m:sepChr m:val=""/>
              <m:grow/>
            </m:dPr>
            <m:e>
              <m:sSub>
                <m:e>
                  <m:r>
                    <m:t>p</m:t>
                  </m:r>
                </m:e>
                <m:sub>
                  <m:r>
                    <m:rPr>
                      <m:nor/>
                      <m:sty m:val="p"/>
                    </m:rPr>
                    <m:t>LM</m:t>
                  </m:r>
                </m:sub>
              </m:sSub>
              <m:r>
                <m:rPr>
                  <m:sty m:val="p"/>
                </m:rPr>
                <m:t>&lt;</m:t>
              </m:r>
              <m:r>
                <m:rPr>
                  <m:sty m:val="p"/>
                </m:rPr>
                <m:t>,</m:t>
              </m:r>
              <m:r>
                <m:t>001</m:t>
              </m:r>
            </m:e>
          </m:d>
        </m:oMath>
      </m:oMathPara>
    </w:p>
    <w:p>
      <w:pPr>
        <w:pStyle w:val="FirstParagraph"/>
      </w:pPr>
      <w:r>
        <w:t xml:space="preserve">Turning point dao động nhất quán trong dải 33,8–40,0% FSTS qua M2–M9, và được xác nhận lại trong mô hình điều tiết ba chiều M11 (</w:t>
      </w:r>
      <m:oMath>
        <m:r>
          <m:rPr>
            <m:nor/>
            <m:sty m:val="p"/>
          </m:rPr>
          <m:t>TP</m:t>
        </m:r>
        <m:r>
          <m:rPr>
            <m:sty m:val="p"/>
          </m:rPr>
          <m:t>=</m:t>
        </m:r>
        <m:r>
          <m:t>34</m:t>
        </m:r>
        <m:r>
          <m:rPr>
            <m:sty m:val="p"/>
          </m:rPr>
          <m:t>,</m:t>
        </m:r>
        <m:r>
          <m:t>6</m:t>
        </m:r>
        <m:r>
          <m:rPr>
            <m:sty m:val="p"/>
          </m:rPr>
          <m:t>%</m:t>
        </m:r>
      </m:oMath>
      <w:r>
        <w:t xml:space="preserve">,</w:t>
      </w:r>
      <w:r>
        <w:t xml:space="preserve"> </w:t>
      </w:r>
      <m:oMath>
        <m:sSub>
          <m:e>
            <m:r>
              <m:t>p</m:t>
            </m:r>
          </m:e>
          <m:sub>
            <m:r>
              <m:rPr>
                <m:nor/>
                <m:sty m:val="p"/>
              </m:rPr>
              <m:t>LM</m:t>
            </m:r>
          </m:sub>
        </m:sSub>
        <m:r>
          <m:rPr>
            <m:sty m:val="p"/>
          </m:rPr>
          <m:t>=</m:t>
        </m:r>
        <m:r>
          <m:rPr>
            <m:sty m:val="p"/>
          </m:rPr>
          <m:t>,</m:t>
        </m:r>
        <m:r>
          <m:t>002</m:t>
        </m:r>
      </m:oMath>
      <w:r>
        <w:t xml:space="preserve">,</w:t>
      </w:r>
      <w:r>
        <w:t xml:space="preserve"> </w:t>
      </w:r>
      <m:oMath>
        <m:r>
          <m:t>N</m:t>
        </m:r>
        <m:r>
          <m:rPr>
            <m:sty m:val="p"/>
          </m:rPr>
          <m:t>=</m:t>
        </m:r>
        <m:r>
          <m:t>29.840</m:t>
        </m:r>
      </m:oMath>
      <w:r>
        <w:t xml:space="preserve">).</w:t>
      </w:r>
    </w:p>
    <w:bookmarkEnd w:id="39"/>
    <w:bookmarkStart w:id="40" w:name="Xc568d6fd01fb41fe1ddfba785ff310c6ff56f41"/>
    <w:p>
      <w:pPr>
        <w:pStyle w:val="Heading3"/>
      </w:pPr>
      <w:r>
        <w:t xml:space="preserve">4.5.2 Gradient ICRV — Xác nhận H5</w:t>
      </w:r>
    </w:p>
    <w:p>
      <w:pPr>
        <w:pStyle w:val="FirstParagraph"/>
      </w:pPr>
      <w:r>
        <w:t xml:space="preserve">Kết quả quan trọng nhất của P7 là xác nhận</w:t>
      </w:r>
      <w:r>
        <w:t xml:space="preserve"> </w:t>
      </w:r>
      <w:r>
        <w:rPr>
          <w:bCs/>
          <w:b/>
        </w:rPr>
        <w:t xml:space="preserve">gradient ICRV</w:t>
      </w:r>
      <w:r>
        <w:t xml:space="preserve">: turning point</w:t>
      </w:r>
      <w:r>
        <w:t xml:space="preserve"> </w:t>
      </w:r>
      <w:r>
        <w:rPr>
          <w:bCs/>
          <w:b/>
        </w:rPr>
        <w:t xml:space="preserve">giảm dần</w:t>
      </w:r>
      <w:r>
        <w:t xml:space="preserve"> </w:t>
      </w:r>
      <w:r>
        <w:t xml:space="preserve">khi chuyển từ nhóm thể chế yếu hơn sang nhóm thể chế mạnh hơn. Cụ thể:</w:t>
      </w:r>
    </w:p>
    <w:p>
      <w:pPr>
        <w:pStyle w:val="BodyText"/>
      </w:pPr>
      <m:oMathPara>
        <m:oMathParaPr>
          <m:jc m:val="center"/>
        </m:oMathParaPr>
        <m:oMath>
          <m:r>
            <m:rPr>
              <m:nor/>
              <m:sty m:val="p"/>
            </m:rPr>
            <m:t>TP(Frontier/SIDS)</m:t>
          </m:r>
          <m:r>
            <m:rPr>
              <m:sty m:val="p"/>
            </m:rPr>
            <m:t>≈</m:t>
          </m:r>
          <m:r>
            <m:t>55</m:t>
          </m:r>
          <m:r>
            <m:rPr>
              <m:sty m:val="p"/>
            </m:rPr>
            <m:t>%</m:t>
          </m:r>
          <m:r>
            <m:rPr>
              <m:sty m:val="p"/>
            </m:rPr>
            <m:t>&gt;</m:t>
          </m:r>
          <m:r>
            <m:rPr>
              <m:nor/>
              <m:sty m:val="p"/>
            </m:rPr>
            <m:t>TP(Upper-middle)</m:t>
          </m:r>
          <m:r>
            <m:rPr>
              <m:sty m:val="p"/>
            </m:rPr>
            <m:t>&gt;</m:t>
          </m:r>
          <m:r>
            <m:rPr>
              <m:nor/>
              <m:sty m:val="p"/>
            </m:rPr>
            <m:t>TP(Advanced Innovation)</m:t>
          </m:r>
          <m:r>
            <m:rPr>
              <m:sty m:val="p"/>
            </m:rPr>
            <m:t>≈</m:t>
          </m:r>
          <m:r>
            <m:t>28</m:t>
          </m:r>
          <m:r>
            <m:rPr>
              <m:sty m:val="p"/>
            </m:rPr>
            <m:t>%</m:t>
          </m:r>
        </m:oMath>
      </m:oMathPara>
    </w:p>
    <w:p>
      <w:pPr>
        <w:pStyle w:val="FirstParagraph"/>
      </w:pPr>
      <w:r>
        <w:t xml:space="preserve">Gradient này nhất quán với dự đoán từ Institutional Theory: trong môi trường thể chế mạnh (Nhóm I), doanh nghiệp hoàn thu chi phí quốc tế hóa tại mức FSTS thấp hơn — đạt đỉnh hiệu quả sớm hơn. Tại các nền kinh tế thể chế yếu (Nhóm V–VI), doanh nghiệp cần mức độ quốc tế hóa cao hơn để bù đắp chi phí giao dịch, nên turning point xuất hiện muộn hơn.</w:t>
      </w:r>
    </w:p>
    <w:p>
      <w:pPr>
        <w:pStyle w:val="BodyText"/>
      </w:pPr>
      <w:r>
        <w:t xml:space="preserve">Kiểm định điều tiết tổng thể</w:t>
      </w:r>
      <w:r>
        <w:t xml:space="preserve"> </w:t>
      </w:r>
      <m:oMath>
        <m:sSub>
          <m:e>
            <m:r>
              <m:t>Q</m:t>
            </m:r>
          </m:e>
          <m:sub>
            <m:r>
              <m:t>M</m:t>
            </m:r>
          </m:sub>
        </m:sSub>
      </m:oMath>
      <w:r>
        <w:t xml:space="preserve"> </w:t>
      </w:r>
      <w:r>
        <w:t xml:space="preserve">về ICRV có ý nghĩa thống kê cao, nhất quán với kết quả meta-analysis trong P6 (</w:t>
      </w:r>
      <m:oMath>
        <m:sSub>
          <m:e>
            <m:r>
              <m:t>Q</m:t>
            </m:r>
          </m:e>
          <m:sub>
            <m:r>
              <m:t>M</m:t>
            </m:r>
          </m:sub>
        </m:sSub>
        <m:r>
          <m:rPr>
            <m:sty m:val="p"/>
          </m:rPr>
          <m:t>=</m:t>
        </m:r>
        <m:r>
          <m:t>17</m:t>
        </m:r>
        <m:r>
          <m:rPr>
            <m:sty m:val="p"/>
          </m:rPr>
          <m:t>,</m:t>
        </m:r>
        <m:r>
          <m:t>35</m:t>
        </m:r>
      </m:oMath>
      <w:r>
        <w:t xml:space="preserve">,</w:t>
      </w:r>
      <w:r>
        <w:t xml:space="preserve"> </w:t>
      </w:r>
      <m:oMath>
        <m:r>
          <m:t>p</m:t>
        </m:r>
        <m:r>
          <m:rPr>
            <m:sty m:val="p"/>
          </m:rPr>
          <m:t>=</m:t>
        </m:r>
        <m:r>
          <m:rPr>
            <m:sty m:val="p"/>
          </m:rPr>
          <m:t>,</m:t>
        </m:r>
        <m:r>
          <m:t>002</m:t>
        </m:r>
      </m:oMath>
      <w:r>
        <w:t xml:space="preserve">). Hai nguồn bằng chứng độc lập — meta-analytic và primary empirical — cùng chỉ ra gradient ICRV, tạo ra independent confirmation có giá trị.</w:t>
      </w:r>
    </w:p>
    <w:bookmarkEnd w:id="40"/>
    <w:bookmarkStart w:id="41" w:name="X32256812b2a6eeab55c6374f270a14b6f4f2077"/>
    <w:p>
      <w:pPr>
        <w:pStyle w:val="Heading3"/>
      </w:pPr>
      <w:r>
        <w:t xml:space="preserve">4.5.3 Điều tiết bởi TCI và DAI trong toàn mẫu</w:t>
      </w:r>
    </w:p>
    <w:p>
      <w:pPr>
        <w:numPr>
          <w:ilvl w:val="0"/>
          <w:numId w:val="1003"/>
        </w:numPr>
        <w:pStyle w:val="Compact"/>
      </w:pPr>
      <w:r>
        <w:rPr>
          <w:bCs/>
          <w:b/>
        </w:rPr>
        <w:t xml:space="preserve">TCI</w:t>
      </w:r>
      <w:r>
        <w:t xml:space="preserve">: có ý nghĩa thống kê dương trên toàn mẫu (~41% nâng mức năng suất mỗi đơn vị SD). Tuy nhiên, tương tác FSTS×TCI và FSTS²×TCI</w:t>
      </w:r>
      <w:r>
        <w:t xml:space="preserve"> </w:t>
      </w:r>
      <w:r>
        <w:rPr>
          <w:bCs/>
          <w:b/>
        </w:rPr>
        <w:t xml:space="preserve">không có ý nghĩa</w:t>
      </w:r>
      <w:r>
        <w:t xml:space="preserve"> </w:t>
      </w:r>
      <w:r>
        <w:t xml:space="preserve">ở toàn mẫu 49 nền kinh tế. H2</w:t>
      </w:r>
      <w:r>
        <w:t xml:space="preserve"> </w:t>
      </w:r>
      <w:r>
        <w:rPr>
          <w:bCs/>
          <w:b/>
        </w:rPr>
        <w:t xml:space="preserve">xác nhận một phần</w:t>
      </w:r>
      <w:r>
        <w:t xml:space="preserve">: TCI là yếu tố nâng mặt bằng năng suất phổ quát, nhưng vai trò uốn đường cong I→P là context-specific (chỉ xuất hiện tại P3 Việt Nam).</w:t>
      </w:r>
    </w:p>
    <w:p>
      <w:pPr>
        <w:numPr>
          <w:ilvl w:val="0"/>
          <w:numId w:val="1003"/>
        </w:numPr>
        <w:pStyle w:val="Compact"/>
      </w:pPr>
      <w:r>
        <w:rPr>
          <w:bCs/>
          <w:b/>
        </w:rPr>
        <w:t xml:space="preserve">DAI</w:t>
      </w:r>
      <w:r>
        <w:t xml:space="preserve">: có hiệu ứng trực tiếp dương và có ý nghĩa trên</w:t>
      </w:r>
      <w:r>
        <w:t xml:space="preserve"> </w:t>
      </w:r>
      <w:r>
        <w:rPr>
          <w:bCs/>
          <w:b/>
        </w:rPr>
        <w:t xml:space="preserve">toàn mẫu</w:t>
      </w:r>
      <w:r>
        <w:t xml:space="preserve"> </w:t>
      </w:r>
      <w:r>
        <w:t xml:space="preserve">(</w:t>
      </w:r>
      <m:oMath>
        <m:acc>
          <m:accPr>
            <m:chr m:val="̂"/>
          </m:accPr>
          <m:e>
            <m:r>
              <m:t>β</m:t>
            </m:r>
          </m:e>
        </m:acc>
        <m:r>
          <m:rPr>
            <m:sty m:val="p"/>
          </m:rPr>
          <m:t>=</m:t>
        </m:r>
        <m:r>
          <m:rPr>
            <m:sty m:val="p"/>
          </m:rPr>
          <m:t>+</m:t>
        </m:r>
        <m:r>
          <m:t>0</m:t>
        </m:r>
        <m:r>
          <m:rPr>
            <m:sty m:val="p"/>
          </m:rPr>
          <m:t>,</m:t>
        </m:r>
        <m:r>
          <m:t>155</m:t>
        </m:r>
      </m:oMath>
      <w:r>
        <w:t xml:space="preserve">,</w:t>
      </w:r>
      <w:r>
        <w:t xml:space="preserve"> </w:t>
      </w:r>
      <m:oMath>
        <m:r>
          <m:t>p</m:t>
        </m:r>
        <m:r>
          <m:rPr>
            <m:sty m:val="p"/>
          </m:rPr>
          <m:t>&lt;</m:t>
        </m:r>
        <m:r>
          <m:rPr>
            <m:sty m:val="p"/>
          </m:rPr>
          <m:t>,</m:t>
        </m:r>
        <m:r>
          <m:t>001</m:t>
        </m:r>
      </m:oMath>
      <w:r>
        <w:t xml:space="preserve">, ~17% lợi thế năng suất). Cả hai tương tác điều tiết đều có ý nghĩa:</w:t>
      </w:r>
      <w:r>
        <w:t xml:space="preserve"> </w:t>
      </w: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614</m:t>
        </m:r>
      </m:oMath>
      <w:r>
        <w:t xml:space="preserve"> </w:t>
      </w:r>
      <w:r>
        <w:t xml:space="preserve">(</w:t>
      </w:r>
      <m:oMath>
        <m:r>
          <m:t>p</m:t>
        </m:r>
        <m:r>
          <m:rPr>
            <m:sty m:val="p"/>
          </m:rPr>
          <m:t>&lt;</m:t>
        </m:r>
        <m:r>
          <m:rPr>
            <m:sty m:val="p"/>
          </m:rPr>
          <m:t>,</m:t>
        </m:r>
        <m:r>
          <m:t>001</m:t>
        </m:r>
      </m:oMath>
      <w:r>
        <w:t xml:space="preserve">) và</w:t>
      </w:r>
      <w:r>
        <w:t xml:space="preserve">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766</m:t>
        </m:r>
      </m:oMath>
      <w:r>
        <w:t xml:space="preserve"> </w:t>
      </w:r>
      <w:r>
        <w:t xml:space="preserve">(</w:t>
      </w:r>
      <m:oMath>
        <m:r>
          <m:t>p</m:t>
        </m:r>
        <m:r>
          <m:rPr>
            <m:sty m:val="p"/>
          </m:rPr>
          <m:t>&lt;</m:t>
        </m:r>
        <m:r>
          <m:rPr>
            <m:sty m:val="p"/>
          </m:rPr>
          <m:t>,</m:t>
        </m:r>
        <m:r>
          <m:t>01</m:t>
        </m:r>
      </m:oMath>
      <w:r>
        <w:t xml:space="preserve">). DAI×ICRV (</w:t>
      </w:r>
      <m:oMath>
        <m:r>
          <m:t>p</m:t>
        </m:r>
        <m:r>
          <m:rPr>
            <m:sty m:val="p"/>
          </m:rPr>
          <m:t>=</m:t>
        </m:r>
        <m:r>
          <m:rPr>
            <m:sty m:val="p"/>
          </m:rPr>
          <m:t>,</m:t>
        </m:r>
        <m:r>
          <m:t>012</m:t>
        </m:r>
      </m:oMath>
      <w:r>
        <w:t xml:space="preserve">) xác nhận DAI phát huy hiệu quả mạnh hơn tại các bối cảnh thể chế yếu hơn — nhất quán với CDCM (DAI bù đắp cho "institutional voids").</w:t>
      </w:r>
    </w:p>
    <w:p>
      <w:pPr>
        <w:pStyle w:val="FirstParagraph"/>
      </w:pPr>
      <w:r>
        <w:t xml:space="preserve">Kết quả P7 cung cấp bức tranh tổng thể quan trọng: DAI là hiệu ứng phổ quát trên toàn mẫu, nhưng</w:t>
      </w:r>
      <w:r>
        <w:t xml:space="preserve"> </w:t>
      </w:r>
      <w:r>
        <w:rPr>
          <w:bCs/>
          <w:b/>
        </w:rPr>
        <w:t xml:space="preserve">cơ chế cụ thể</w:t>
      </w:r>
      <w:r>
        <w:t xml:space="preserve"> </w:t>
      </w:r>
      <w:r>
        <w:t xml:space="preserve">(mức độ và hướng điều tiết đường cong) phụ thuộc vào bối cảnh ICRV — nhất quán với luận điểm CDCM về "nguồn lực tình huống".</w:t>
      </w:r>
    </w:p>
    <w:p>
      <w:r>
        <w:pict>
          <v:rect style="width:0;height:1.5pt" o:hralign="center" o:hrstd="t" o:hr="t"/>
        </w:pict>
      </w:r>
    </w:p>
    <w:bookmarkEnd w:id="41"/>
    <w:bookmarkEnd w:id="42"/>
    <w:bookmarkStart w:id="46" w:name="X515d1af7c14af57822a3e466f5faf3162bb1ab1"/>
    <w:p>
      <w:pPr>
        <w:pStyle w:val="Heading2"/>
      </w:pPr>
      <w:r>
        <w:t xml:space="preserve">4.6 Kết quả trường hợp biên SIDS — Các nền kinh tế đảo nhỏ đang phát triển (P8)</w:t>
      </w:r>
    </w:p>
    <w:bookmarkStart w:id="43" w:name="X7e5a25ed04d464a39ec903e0f1bd3583f9af729"/>
    <w:p>
      <w:pPr>
        <w:pStyle w:val="Heading3"/>
      </w:pPr>
      <w:r>
        <w:t xml:space="preserve">4.6.1 Đặc điểm mẫu SIDS</w:t>
      </w:r>
    </w:p>
    <w:p>
      <w:pPr>
        <w:pStyle w:val="FirstParagraph"/>
      </w:pPr>
      <w:r>
        <w:t xml:space="preserve">Phân tích P8 tập trung vào chín quốc gia SIDS Thái Bình Dương (Pacific Small Island Developing States — Nhóm VI) với tổng</w:t>
      </w:r>
      <w:r>
        <w:t xml:space="preserve"> </w:t>
      </w:r>
      <m:oMath>
        <m:r>
          <m:t>N</m:t>
        </m:r>
        <m:r>
          <m:rPr>
            <m:sty m:val="p"/>
          </m:rPr>
          <m:t>=</m:t>
        </m:r>
        <m:r>
          <m:t>1.469</m:t>
        </m:r>
      </m:oMath>
      <w:r>
        <w:t xml:space="preserve"> </w:t>
      </w:r>
      <w:r>
        <w:t xml:space="preserve">doanh nghiệp, trong đó chỉ</w:t>
      </w:r>
      <w:r>
        <w:t xml:space="preserve"> </w:t>
      </w:r>
      <m:oMath>
        <m:sSub>
          <m:e>
            <m:r>
              <m:t>N</m:t>
            </m:r>
          </m:e>
          <m:sub>
            <m:r>
              <m:rPr>
                <m:nor/>
                <m:sty m:val="p"/>
              </m:rPr>
              <m:t>exporters</m:t>
            </m:r>
          </m:sub>
        </m:sSub>
        <m:r>
          <m:rPr>
            <m:sty m:val="p"/>
          </m:rPr>
          <m:t>=</m:t>
        </m:r>
        <m:r>
          <m:t>187</m:t>
        </m:r>
      </m:oMath>
      <w:r>
        <w:t xml:space="preserve"> </w:t>
      </w:r>
      <w:r>
        <w:t xml:space="preserve">(chiếm 12,7% mẫu). Tỷ lệ doanh thu xuất khẩu trung bình rất thấp: mean FSTS = 0,060 (6,0%). Cấu trúc mẫu này phản ánh thực tế kinh tế của các nền kinh tế SIDS: thị trường nội địa nhỏ, xuất khẩu không phải là lựa chọn chiến lược chủ động mà thường là phản ứng với áp lực từ bên ngoài do giới hạn nhu cầu nội địa.</w:t>
      </w:r>
    </w:p>
    <w:bookmarkEnd w:id="43"/>
    <w:bookmarkStart w:id="44" w:name="X6260f847af424e7f84b1102579be5299c4b8bbf"/>
    <w:p>
      <w:pPr>
        <w:pStyle w:val="Heading3"/>
      </w:pPr>
      <w:r>
        <w:t xml:space="preserve">4.6.2 Hiệu ứng âm đơn điệu — Forced Internationalization Penalty (FIP)</w:t>
      </w:r>
    </w:p>
    <w:p>
      <w:pPr>
        <w:pStyle w:val="FirstParagraph"/>
      </w:pPr>
      <w:r>
        <w:t xml:space="preserve">Đây là phát hiện nổi bật nhất và khác biệt nhất của luận án so với toàn bộ kết quả từ các bối cảnh ICRV khác. Mô hình M1 với country fixed effects và year fixed effects cho:</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404</m:t>
          </m:r>
          <m:r>
            <m:rPr>
              <m:sty m:val="p"/>
            </m:rPr>
            <m:t>,</m:t>
          </m:r>
          <m:r>
            <m:t> </m:t>
          </m:r>
          <m:r>
            <m:t>S</m:t>
          </m:r>
          <m:r>
            <m:t>E</m:t>
          </m:r>
          <m:r>
            <m:rPr>
              <m:sty m:val="p"/>
            </m:rPr>
            <m:t>=</m:t>
          </m:r>
          <m:r>
            <m:t>0</m:t>
          </m:r>
          <m:r>
            <m:rPr>
              <m:sty m:val="p"/>
            </m:rPr>
            <m:t>,</m:t>
          </m:r>
          <m:r>
            <m:t>188</m:t>
          </m:r>
          <m:r>
            <m:rPr>
              <m:sty m:val="p"/>
            </m:rPr>
            <m:t>,</m:t>
          </m:r>
          <m:r>
            <m:t> </m:t>
          </m:r>
          <m:r>
            <m:t>p</m:t>
          </m:r>
          <m:r>
            <m:rPr>
              <m:sty m:val="p"/>
            </m:rPr>
            <m:t>=</m:t>
          </m:r>
          <m:r>
            <m:rPr>
              <m:sty m:val="p"/>
            </m:rPr>
            <m:t>,</m:t>
          </m:r>
          <m:sSup>
            <m:e>
              <m:r>
                <m:t>032</m:t>
              </m:r>
            </m:e>
            <m:sup>
              <m:r>
                <m:rPr>
                  <m:sty m:val="p"/>
                </m:rPr>
                <m:t>*</m:t>
              </m:r>
            </m:sup>
          </m:sSup>
        </m:oMath>
      </m:oMathPara>
    </w:p>
    <w:p>
      <w:pPr>
        <w:pStyle w:val="FirstParagraph"/>
      </w:pPr>
      <w:r>
        <w:t xml:space="preserve">Hệ số hồi quy âm và có ý nghĩa thống kê, nghĩa là tại các nền kinh tế SIDS, quốc tế hóa càng cao thì hiệu quả hoạt động kinh doanh càng</w:t>
      </w:r>
      <w:r>
        <w:t xml:space="preserve"> </w:t>
      </w:r>
      <w:r>
        <w:rPr>
          <w:bCs/>
          <w:b/>
        </w:rPr>
        <w:t xml:space="preserve">thấp hơn</w:t>
      </w:r>
      <w:r>
        <w:t xml:space="preserve"> </w:t>
      </w:r>
      <w:r>
        <w:t xml:space="preserve">— quan hệ âm đơn điệu. Kết quả này không theo dạng chữ U ngược hay S-curve của tất cả các bối cảnh khác.</w:t>
      </w:r>
    </w:p>
    <w:p>
      <w:pPr>
        <w:pStyle w:val="BodyText"/>
      </w:pPr>
      <w:r>
        <w:t xml:space="preserve">Trong mẫu chỉ gồm doanh nghiệp xuất khẩu (exporters-only), hệ số âm còn mạnh hơn:</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901</m:t>
          </m:r>
          <m:r>
            <m:rPr>
              <m:sty m:val="p"/>
            </m:rPr>
            <m:t>,</m:t>
          </m:r>
          <m:r>
            <m:t> </m:t>
          </m:r>
          <m:r>
            <m:t>S</m:t>
          </m:r>
          <m:r>
            <m:t>E</m:t>
          </m:r>
          <m:r>
            <m:rPr>
              <m:sty m:val="p"/>
            </m:rPr>
            <m:t>=</m:t>
          </m:r>
          <m:r>
            <m:t>0</m:t>
          </m:r>
          <m:r>
            <m:rPr>
              <m:sty m:val="p"/>
            </m:rPr>
            <m:t>,</m:t>
          </m:r>
          <m:r>
            <m:t>398</m:t>
          </m:r>
          <m:r>
            <m:rPr>
              <m:sty m:val="p"/>
            </m:rPr>
            <m:t>,</m:t>
          </m:r>
          <m:r>
            <m:t> </m:t>
          </m:r>
          <m:r>
            <m:t>p</m:t>
          </m:r>
          <m:r>
            <m:rPr>
              <m:sty m:val="p"/>
            </m:rPr>
            <m:t>=</m:t>
          </m:r>
          <m:r>
            <m:rPr>
              <m:sty m:val="p"/>
            </m:rPr>
            <m:t>,</m:t>
          </m:r>
          <m:sSup>
            <m:e>
              <m:r>
                <m:t>027</m:t>
              </m:r>
            </m:e>
            <m:sup>
              <m:r>
                <m:rPr>
                  <m:sty m:val="p"/>
                </m:rPr>
                <m:t>*</m:t>
              </m:r>
            </m:sup>
          </m:sSup>
        </m:oMath>
      </m:oMathPara>
    </w:p>
    <w:p>
      <w:pPr>
        <w:pStyle w:val="FirstParagraph"/>
      </w:pPr>
      <w:r>
        <w:t xml:space="preserve">Với mô hình year-FE-only (không có country FE để kiểm tra độ vững):</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1</m:t>
          </m:r>
          <m:r>
            <m:rPr>
              <m:sty m:val="p"/>
            </m:rPr>
            <m:t>,</m:t>
          </m:r>
          <m:r>
            <m:t>236</m:t>
          </m:r>
          <m:r>
            <m:rPr>
              <m:sty m:val="p"/>
            </m:rPr>
            <m:t>,</m:t>
          </m:r>
          <m:r>
            <m:t> </m:t>
          </m:r>
          <m:r>
            <m:t>p</m:t>
          </m:r>
          <m:r>
            <m:rPr>
              <m:sty m:val="p"/>
            </m:rPr>
            <m:t>&lt;</m:t>
          </m:r>
          <m:r>
            <m:rPr>
              <m:sty m:val="p"/>
            </m:rPr>
            <m:t>,</m:t>
          </m:r>
          <m:sSup>
            <m:e>
              <m:r>
                <m:t>001</m:t>
              </m:r>
            </m:e>
            <m:sup>
              <m:r>
                <m:rPr>
                  <m:sty m:val="p"/>
                </m:rPr>
                <m:t>*</m:t>
              </m:r>
              <m:r>
                <m:rPr>
                  <m:sty m:val="p"/>
                </m:rPr>
                <m:t>*</m:t>
              </m:r>
              <m:r>
                <m:rPr>
                  <m:sty m:val="p"/>
                </m:rPr>
                <m:t>*</m:t>
              </m:r>
            </m:sup>
          </m:sSup>
        </m:oMath>
      </m:oMathPara>
    </w:p>
    <w:p>
      <w:pPr>
        <w:pStyle w:val="FirstParagraph"/>
      </w:pPr>
      <w:r>
        <w:t xml:space="preserve">Ba specification nhất quán về chiều âm và ý nghĩa thống kê xác nhận rằng đây không phải là kết quả ngẫu nhiên do đặc thù mô hình.</w:t>
      </w:r>
    </w:p>
    <w:p>
      <w:pPr>
        <w:pStyle w:val="BodyText"/>
      </w:pPr>
      <w:r>
        <w:t xml:space="preserve">Mô hình M2 bổ sung FSTS</w:t>
      </w:r>
      <m:oMath>
        <m:sSup>
          <m:e>
            <m:r>
              <m:t>​</m:t>
            </m:r>
          </m:e>
          <m:sup>
            <m:r>
              <m:t>2</m:t>
            </m:r>
          </m:sup>
        </m:sSup>
      </m:oMath>
      <w:r>
        <w:t xml:space="preserve"> </w:t>
      </w:r>
      <w:r>
        <w:t xml:space="preserve">không cho kết quả có ý nghĩa thống kê, xác nhận quan hệ là</w:t>
      </w:r>
      <w:r>
        <w:t xml:space="preserve"> </w:t>
      </w:r>
      <w:r>
        <w:rPr>
          <w:bCs/>
          <w:b/>
        </w:rPr>
        <w:t xml:space="preserve">đơn điệu</w:t>
      </w:r>
      <w:r>
        <w:t xml:space="preserve"> </w:t>
      </w:r>
      <w:r>
        <w:t xml:space="preserve">(monotone decline) — không có turning point trong phạm vi dữ liệu.</w:t>
      </w:r>
    </w:p>
    <w:bookmarkEnd w:id="44"/>
    <w:bookmarkStart w:id="45" w:name="X5d63ecc045aa1562adc99da760d22f0511574f9"/>
    <w:p>
      <w:pPr>
        <w:pStyle w:val="Heading3"/>
      </w:pPr>
      <w:r>
        <w:t xml:space="preserve">4.6.3 Giải thích cơ chế Forced Internationalization Penalty</w:t>
      </w:r>
    </w:p>
    <w:p>
      <w:pPr>
        <w:pStyle w:val="FirstParagraph"/>
      </w:pPr>
      <w:r>
        <w:t xml:space="preserve">Luận án đặt tên cho hiện tượng này là</w:t>
      </w:r>
      <w:r>
        <w:t xml:space="preserve"> </w:t>
      </w:r>
      <w:r>
        <w:rPr>
          <w:bCs/>
          <w:b/>
        </w:rPr>
        <w:t xml:space="preserve">Forced Internationalization Penalty (FIP)</w:t>
      </w:r>
      <w:r>
        <w:t xml:space="preserve"> </w:t>
      </w:r>
      <w:r>
        <w:t xml:space="preserve">— gánh nặng quốc tế hóa bắt buộc — một construct lý thuyết mới chưa xuất hiện trong literature IB trước đây. Cơ chế giải thích gồm ba yếu tố cấu trúc đặc thù của SIDS:</w:t>
      </w:r>
    </w:p>
    <w:p>
      <w:pPr>
        <w:numPr>
          <w:ilvl w:val="0"/>
          <w:numId w:val="1004"/>
        </w:numPr>
      </w:pPr>
      <w:r>
        <w:rPr>
          <w:bCs/>
          <w:b/>
        </w:rPr>
        <w:t xml:space="preserve">Thị trường nội địa quá nhỏ</w:t>
      </w:r>
      <w:r>
        <w:t xml:space="preserve">: doanh nghiệp SIDS buộc phải xuất khẩu không phải vì có lợi thế cạnh tranh mà vì nhu cầu nội địa không đủ để duy trì hoạt động. Đây là quốc tế hóa bắt buộc (forced internationalization), không phải quốc tế hóa chiến lược (strategic internationalization).</w:t>
      </w:r>
    </w:p>
    <w:p>
      <w:pPr>
        <w:numPr>
          <w:ilvl w:val="0"/>
          <w:numId w:val="1004"/>
        </w:numPr>
      </w:pPr>
      <w:r>
        <w:rPr>
          <w:bCs/>
          <w:b/>
        </w:rPr>
        <w:t xml:space="preserve">Chi phí hậu cần và tiếp cận thị trường cực cao</w:t>
      </w:r>
      <w:r>
        <w:t xml:space="preserve">: vị trí địa lý xa xôi và phân tán của các đảo SIDS tạo ra chi phí vận chuyển, logistics và giao dịch xuyên biên giới không tỷ lệ với giá trị hàng hóa có thể xuất khẩu.</w:t>
      </w:r>
    </w:p>
    <w:p>
      <w:pPr>
        <w:numPr>
          <w:ilvl w:val="0"/>
          <w:numId w:val="1004"/>
        </w:numPr>
      </w:pPr>
      <w:r>
        <w:rPr>
          <w:bCs/>
          <w:b/>
        </w:rPr>
        <w:t xml:space="preserve">Thiếu hỗ trợ thể chế và năng lực xuất khẩu</w:t>
      </w:r>
      <w:r>
        <w:t xml:space="preserve">: môi trường thể chế yếu (thể hiện qua kết quả DAI null trong P7), thiếu hỗ trợ chính sách xuất khẩu, và năng lực tổ chức hạn chế khiến cho việc quản lý hoạt động quốc tế hóa vượt quá khả năng của phần lớn doanh nghiệp SIDS.</w:t>
      </w:r>
    </w:p>
    <w:p>
      <w:pPr>
        <w:pStyle w:val="FirstParagraph"/>
      </w:pPr>
      <w:r>
        <w:t xml:space="preserve">Kết quả FIP là đóng góp lý thuyết gốc của luận án — lần đầu tiên được ghi nhận và đặt tên trong literature internationalization–firm performance cho khu vực Thái Bình Dương.</w:t>
      </w:r>
    </w:p>
    <w:p>
      <w:r>
        <w:pict>
          <v:rect style="width:0;height:1.5pt" o:hralign="center" o:hrstd="t" o:hr="t"/>
        </w:pict>
      </w:r>
    </w:p>
    <w:bookmarkEnd w:id="45"/>
    <w:bookmarkEnd w:id="46"/>
    <w:bookmarkStart w:id="47" w:name="X9900e071ef3c2c84f8fdd7a95ae52c6a2109bb4"/>
    <w:p>
      <w:pPr>
        <w:pStyle w:val="Heading2"/>
      </w:pPr>
      <w:r>
        <w:t xml:space="preserve">4.7 Tổng hợp kết quả theo hệ giả thuyết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Giả thuyết</w:t>
            </w:r>
          </w:p>
        </w:tc>
        <w:tc>
          <w:tcPr/>
          <w:p>
            <w:pPr>
              <w:pStyle w:val="Compact"/>
              <w:jc w:val="left"/>
            </w:pPr>
            <w:r>
              <w:t xml:space="preserve">Nội dung</w:t>
            </w:r>
          </w:p>
        </w:tc>
        <w:tc>
          <w:tcPr/>
          <w:p>
            <w:pPr>
              <w:pStyle w:val="Compact"/>
              <w:jc w:val="left"/>
            </w:pPr>
            <w:r>
              <w:t xml:space="preserve">Kết quả</w:t>
            </w:r>
          </w:p>
        </w:tc>
      </w:tr>
      <w:tr>
        <w:tc>
          <w:tcPr/>
          <w:p>
            <w:pPr>
              <w:pStyle w:val="Compact"/>
              <w:jc w:val="left"/>
            </w:pPr>
            <w:r>
              <w:t xml:space="preserve">H1 (Phi tuyến chữ U ngược)</w:t>
            </w:r>
          </w:p>
        </w:tc>
        <w:tc>
          <w:tcPr/>
          <w:p>
            <w:pPr>
              <w:pStyle w:val="Compact"/>
              <w:jc w:val="left"/>
            </w:pPr>
            <w:r>
              <w:t xml:space="preserve">I→P có dạng inverted-U</w:t>
            </w:r>
          </w:p>
        </w:tc>
        <w:tc>
          <w:tcPr/>
          <w:p>
            <w:pPr>
              <w:pStyle w:val="Compact"/>
              <w:jc w:val="left"/>
            </w:pPr>
            <w:r>
              <w:t xml:space="preserve">Xác nhận tại Singapore, Trung Quốc, Việt Nam, và toàn mẫu P7 (ngoại trừ SIDS)</w:t>
            </w:r>
          </w:p>
        </w:tc>
      </w:tr>
      <w:tr>
        <w:tc>
          <w:tcPr/>
          <w:p>
            <w:pPr>
              <w:pStyle w:val="Compact"/>
              <w:jc w:val="left"/>
            </w:pPr>
            <w:r>
              <w:t xml:space="preserve">H2 (TCI điều tiết dương)</w:t>
            </w:r>
          </w:p>
        </w:tc>
        <w:tc>
          <w:tcPr/>
          <w:p>
            <w:pPr>
              <w:pStyle w:val="Compact"/>
              <w:jc w:val="left"/>
            </w:pPr>
            <w:r>
              <w:t xml:space="preserve">TCI khuếch đại I→P</w:t>
            </w:r>
          </w:p>
        </w:tc>
        <w:tc>
          <w:tcPr/>
          <w:p>
            <w:pPr>
              <w:pStyle w:val="Compact"/>
              <w:jc w:val="left"/>
            </w:pPr>
            <w:r>
              <w:t xml:space="preserve">Xác nhận một phần: TCI nâng mặt bằng năng suất tại tất cả bối cảnh; uốn đường cong xác nhận tại Việt Nam nhưng NS tại toàn mẫu P7 (49 nền kinh tế)</w:t>
            </w:r>
          </w:p>
        </w:tc>
      </w:tr>
      <w:tr>
        <w:tc>
          <w:tcPr/>
          <w:p>
            <w:pPr>
              <w:pStyle w:val="Compact"/>
              <w:jc w:val="left"/>
            </w:pPr>
            <w:r>
              <w:t xml:space="preserve">H3 (DAI điều tiết)</w:t>
            </w:r>
          </w:p>
        </w:tc>
        <w:tc>
          <w:tcPr/>
          <w:p>
            <w:pPr>
              <w:pStyle w:val="Compact"/>
              <w:jc w:val="left"/>
            </w:pPr>
            <w:r>
              <w:t xml:space="preserve">DAI thay đổi độ dốc I→P</w:t>
            </w:r>
          </w:p>
        </w:tc>
        <w:tc>
          <w:tcPr/>
          <w:p>
            <w:pPr>
              <w:pStyle w:val="Compact"/>
              <w:jc w:val="left"/>
            </w:pPr>
            <w:r>
              <w:t xml:space="preserve">Xác nhận: DAI có level effect phổ quát (β=+0,155***) và cả hai curvature interactions có ý nghĩa trong P7 (49 nền kinh tế); DAI×ICRV p=.012 — "digital shield" mạnh nhất khi thể chế yếu; null tại Việt Nam (Tier-1 only) là kết quả tương thích do hạn chế đo lường</w:t>
            </w:r>
          </w:p>
        </w:tc>
      </w:tr>
      <w:tr>
        <w:tc>
          <w:tcPr/>
          <w:p>
            <w:pPr>
              <w:pStyle w:val="Compact"/>
              <w:jc w:val="left"/>
            </w:pPr>
            <w:r>
              <w:t xml:space="preserve">H4 (Nhà quản trị điều tiết)</w:t>
            </w:r>
          </w:p>
        </w:tc>
        <w:tc>
          <w:tcPr/>
          <w:p>
            <w:pPr>
              <w:pStyle w:val="Compact"/>
              <w:jc w:val="left"/>
            </w:pPr>
            <w:r>
              <w:t xml:space="preserve">Kinh nghiệm/giới tính nhà quản trị</w:t>
            </w:r>
          </w:p>
        </w:tc>
        <w:tc>
          <w:tcPr/>
          <w:p>
            <w:pPr>
              <w:pStyle w:val="Compact"/>
              <w:jc w:val="left"/>
            </w:pPr>
            <w:r>
              <w:t xml:space="preserve">Kết quả hỗn hợp — báo cáo trong P7 nhưng không được tổng kết trong chương này do phạm vi</w:t>
            </w:r>
          </w:p>
        </w:tc>
      </w:tr>
      <w:tr>
        <w:tc>
          <w:tcPr/>
          <w:p>
            <w:pPr>
              <w:pStyle w:val="Compact"/>
              <w:jc w:val="left"/>
            </w:pPr>
            <w:r>
              <w:t xml:space="preserve">H5 (ICRV gradient)</w:t>
            </w:r>
          </w:p>
        </w:tc>
        <w:tc>
          <w:tcPr/>
          <w:p>
            <w:pPr>
              <w:pStyle w:val="Compact"/>
              <w:jc w:val="left"/>
            </w:pPr>
            <w:r>
              <w:t xml:space="preserve">Thể chế điều tiết gradient I→P</w:t>
            </w:r>
          </w:p>
        </w:tc>
        <w:tc>
          <w:tcPr/>
          <w:p>
            <w:pPr>
              <w:pStyle w:val="Compact"/>
              <w:jc w:val="left"/>
            </w:pPr>
            <w:r>
              <w:t xml:space="preserve">Xác nhận mạnh mẽ:</w:t>
            </w:r>
            <w:r>
              <w:t xml:space="preserve"> </w:t>
            </w:r>
            <m:oMath>
              <m:sSub>
                <m:e>
                  <m:r>
                    <m:t>Q</m:t>
                  </m:r>
                </m:e>
                <m:sub>
                  <m:r>
                    <m:t>M</m:t>
                  </m:r>
                </m:sub>
              </m:sSub>
              <m:r>
                <m:rPr>
                  <m:sty m:val="p"/>
                </m:rPr>
                <m:t>=</m:t>
              </m:r>
              <m:r>
                <m:t>17</m:t>
              </m:r>
              <m:r>
                <m:rPr>
                  <m:sty m:val="p"/>
                </m:rPr>
                <m:t>,</m:t>
              </m:r>
              <m:sSup>
                <m:e>
                  <m:r>
                    <m:t>35</m:t>
                  </m:r>
                </m:e>
                <m:sup>
                  <m:r>
                    <m:rPr>
                      <m:sty m:val="p"/>
                    </m:rPr>
                    <m:t>*</m:t>
                  </m:r>
                  <m:r>
                    <m:rPr>
                      <m:sty m:val="p"/>
                    </m:rPr>
                    <m:t>*</m:t>
                  </m:r>
                </m:sup>
              </m:sSup>
            </m:oMath>
            <w:r>
              <w:t xml:space="preserve"> </w:t>
            </w:r>
            <w:r>
              <w:t xml:space="preserve">(</w:t>
            </w:r>
            <m:oMath>
              <m:r>
                <m:t>d</m:t>
              </m:r>
              <m:r>
                <m:t>f</m:t>
              </m:r>
              <m:r>
                <m:rPr>
                  <m:sty m:val="p"/>
                </m:rPr>
                <m:t>=</m:t>
              </m:r>
              <m:r>
                <m:t>4</m:t>
              </m:r>
            </m:oMath>
            <w:r>
              <w:t xml:space="preserve">,</w:t>
            </w:r>
            <w:r>
              <w:t xml:space="preserve"> </w:t>
            </w:r>
            <m:oMath>
              <m:r>
                <m:t>p</m:t>
              </m:r>
              <m:r>
                <m:rPr>
                  <m:sty m:val="p"/>
                </m:rPr>
                <m:t>=</m:t>
              </m:r>
              <m:r>
                <m:rPr>
                  <m:sty m:val="p"/>
                </m:rPr>
                <m:t>,</m:t>
              </m:r>
              <m:r>
                <m:t>002</m:t>
              </m:r>
            </m:oMath>
            <w:r>
              <w:t xml:space="preserve">) từ P6 MARA và gradient ICRV từ P7</w:t>
            </w:r>
          </w:p>
        </w:tc>
      </w:tr>
      <w:tr>
        <w:tc>
          <w:tcPr/>
          <w:p>
            <w:pPr>
              <w:pStyle w:val="Compact"/>
              <w:jc w:val="left"/>
            </w:pPr>
            <w:r>
              <w:t xml:space="preserve">H6 (Temporal heterogeneity)</w:t>
            </w:r>
          </w:p>
        </w:tc>
        <w:tc>
          <w:tcPr/>
          <w:p>
            <w:pPr>
              <w:pStyle w:val="Compact"/>
              <w:jc w:val="left"/>
            </w:pPr>
            <w:r>
              <w:t xml:space="preserve">Hình dạng I→P thay đổi theo thời gian</w:t>
            </w:r>
          </w:p>
        </w:tc>
        <w:tc>
          <w:tcPr/>
          <w:p>
            <w:pPr>
              <w:pStyle w:val="Compact"/>
              <w:jc w:val="left"/>
            </w:pPr>
            <w:r>
              <w:t xml:space="preserve">Không xác nhận tại Trung Quốc (</w:t>
            </w:r>
            <m:oMath>
              <m:r>
                <m:t>F</m:t>
              </m:r>
              <m:r>
                <m:rPr>
                  <m:sty m:val="p"/>
                </m:rPr>
                <m:t>=</m:t>
              </m:r>
              <m:r>
                <m:t>1</m:t>
              </m:r>
              <m:r>
                <m:rPr>
                  <m:sty m:val="p"/>
                </m:rPr>
                <m:t>,</m:t>
              </m:r>
              <m:r>
                <m:t>83</m:t>
              </m:r>
            </m:oMath>
            <w:r>
              <w:t xml:space="preserve">,</w:t>
            </w:r>
            <w:r>
              <w:t xml:space="preserve"> </w:t>
            </w:r>
            <m:oMath>
              <m:r>
                <m:t>p</m:t>
              </m:r>
              <m:r>
                <m:rPr>
                  <m:sty m:val="p"/>
                </m:rPr>
                <m:t>=</m:t>
              </m:r>
              <m:r>
                <m:rPr>
                  <m:sty m:val="p"/>
                </m:rPr>
                <m:t>,</m:t>
              </m:r>
              <m:r>
                <m:t>176</m:t>
              </m:r>
            </m:oMath>
            <w:r>
              <w:t xml:space="preserve">); TP dịch chuyển tại Việt Nam giữa 2009 và 2015</w:t>
            </w:r>
          </w:p>
        </w:tc>
      </w:tr>
      <w:tr>
        <w:tc>
          <w:tcPr/>
          <w:p>
            <w:pPr>
              <w:pStyle w:val="Compact"/>
              <w:jc w:val="left"/>
            </w:pPr>
            <w:r>
              <w:t xml:space="preserve">H1b (FIP — SIDS boundary condition)</w:t>
            </w:r>
          </w:p>
        </w:tc>
        <w:tc>
          <w:tcPr/>
          <w:p>
            <w:pPr>
              <w:pStyle w:val="Compact"/>
              <w:jc w:val="left"/>
            </w:pPr>
            <w:r>
              <w:t xml:space="preserve">Quan hệ âm đơn điệu tại SIDS</w:t>
            </w:r>
          </w:p>
        </w:tc>
        <w:tc>
          <w:tcPr/>
          <w:p>
            <w:pPr>
              <w:pStyle w:val="Compact"/>
              <w:jc w:val="left"/>
            </w:pPr>
            <w:r>
              <w:t xml:space="preserve">Xác nhận mạnh mẽ:</w:t>
            </w:r>
            <w:r>
              <w:t xml:space="preserve"> </w:t>
            </w:r>
            <m:oMath>
              <m:r>
                <m:t>β</m:t>
              </m:r>
              <m:r>
                <m:rPr>
                  <m:sty m:val="p"/>
                </m:rPr>
                <m:t>=</m:t>
              </m:r>
              <m:r>
                <m:rPr>
                  <m:sty m:val="p"/>
                </m:rPr>
                <m:t>−</m:t>
              </m:r>
              <m:r>
                <m:t>0</m:t>
              </m:r>
              <m:r>
                <m:rPr>
                  <m:sty m:val="p"/>
                </m:rPr>
                <m:t>,</m:t>
              </m:r>
              <m:sSup>
                <m:e>
                  <m:r>
                    <m:t>404</m:t>
                  </m:r>
                </m:e>
                <m:sup>
                  <m:r>
                    <m:rPr>
                      <m:sty m:val="p"/>
                    </m:rPr>
                    <m:t>*</m:t>
                  </m:r>
                </m:sup>
              </m:sSup>
            </m:oMath>
            <w:r>
              <w:t xml:space="preserve"> </w:t>
            </w:r>
            <w:r>
              <w:t xml:space="preserve">đến</w:t>
            </w:r>
            <w:r>
              <w:t xml:space="preserve"> </w:t>
            </w:r>
            <m:oMath>
              <m:r>
                <m:rPr>
                  <m:sty m:val="p"/>
                </m:rPr>
                <m:t>−</m:t>
              </m:r>
              <m:r>
                <m:t>1</m:t>
              </m:r>
              <m:r>
                <m:rPr>
                  <m:sty m:val="p"/>
                </m:rPr>
                <m:t>,</m:t>
              </m:r>
              <m:sSup>
                <m:e>
                  <m:r>
                    <m:t>236</m:t>
                  </m:r>
                </m:e>
                <m:sup>
                  <m:r>
                    <m:rPr>
                      <m:sty m:val="p"/>
                    </m:rPr>
                    <m:t>*</m:t>
                  </m:r>
                  <m:r>
                    <m:rPr>
                      <m:sty m:val="p"/>
                    </m:rPr>
                    <m:t>*</m:t>
                  </m:r>
                  <m:r>
                    <m:rPr>
                      <m:sty m:val="p"/>
                    </m:rPr>
                    <m:t>*</m:t>
                  </m:r>
                </m:sup>
              </m:sSup>
            </m:oMath>
            <w:r>
              <w:t xml:space="preserve"> </w:t>
            </w:r>
            <w:r>
              <w:t xml:space="preserve">tuỳ specification</w:t>
            </w:r>
          </w:p>
        </w:tc>
      </w:tr>
    </w:tbl>
    <w:p>
      <w:r>
        <w:pict>
          <v:rect style="width:0;height:1.5pt" o:hralign="center" o:hrstd="t" o:hr="t"/>
        </w:pict>
      </w:r>
    </w:p>
    <w:bookmarkEnd w:id="47"/>
    <w:bookmarkEnd w:id="48"/>
    <w:bookmarkStart w:id="78" w:name="Xc1ed2bcff80d0fb5b704d4f6dbdf97fdea0e1d7"/>
    <w:p>
      <w:pPr>
        <w:pStyle w:val="Heading1"/>
      </w:pPr>
      <w:r>
        <w:t xml:space="preserve">CHƯƠNG 5: BÀN LUẬN, KẾT LUẬN VÀ HÀM Ý CHÍNH SÁCH</w:t>
      </w:r>
    </w:p>
    <w:p>
      <w:r>
        <w:pict>
          <v:rect style="width:0;height:1.5pt" o:hralign="center" o:hrstd="t" o:hr="t"/>
        </w:pict>
      </w:r>
    </w:p>
    <w:bookmarkStart w:id="49" w:name="giới-thiệu-chương-1"/>
    <w:p>
      <w:pPr>
        <w:pStyle w:val="Heading2"/>
      </w:pPr>
      <w:r>
        <w:t xml:space="preserve">Giới thiệu chương</w:t>
      </w:r>
    </w:p>
    <w:p>
      <w:pPr>
        <w:pStyle w:val="FirstParagraph"/>
      </w:pPr>
      <w:r>
        <w:t xml:space="preserve">Chương 5 tổng hợp và diễn giải kết quả từ Chương 4 trong ánh sáng của khung lý thuyết CDCM và bốn lý thuyết nền (Uppsala, RBV, Institutional Theory, Upper Echelons Theory). Cấu trúc chương gồm sáu phần: (i) bàn luận kết quả theo khung lý thuyết; (ii) so sánh với nghiên cứu trước; (iii) đóng góp lý thuyết; (iv) hàm ý chính sách và quản trị; (v) hạn chế và hướng nghiên cứu tương lai; và (vi) kết luận tổng thể của luận án.</w:t>
      </w:r>
    </w:p>
    <w:p>
      <w:r>
        <w:pict>
          <v:rect style="width:0;height:1.5pt" o:hralign="center" o:hrstd="t" o:hr="t"/>
        </w:pict>
      </w:r>
    </w:p>
    <w:bookmarkEnd w:id="49"/>
    <w:bookmarkStart w:id="54" w:name="Xa49aadb40c127a83ebe1d91ac222e3bdb8617c2"/>
    <w:p>
      <w:pPr>
        <w:pStyle w:val="Heading2"/>
      </w:pPr>
      <w:r>
        <w:t xml:space="preserve">5.1 Bàn luận kết quả theo khung lý thuyết CDCM</w:t>
      </w:r>
    </w:p>
    <w:bookmarkStart w:id="50" w:name="X751baa465f16b11eec18b61295bd32c9b23dafc"/>
    <w:p>
      <w:pPr>
        <w:pStyle w:val="Heading3"/>
      </w:pPr>
      <w:r>
        <w:t xml:space="preserve">5.1.1 ICRV Gradient — Xác nhận H5 và tầng thể chế của CDCM</w:t>
      </w:r>
    </w:p>
    <w:p>
      <w:pPr>
        <w:pStyle w:val="FirstParagraph"/>
      </w:pPr>
      <w:r>
        <w:t xml:space="preserve">Phát hiện nhất quán nhất và có ý nghĩa lý thuyết rộng nhất của luận án là</w:t>
      </w:r>
      <w:r>
        <w:t xml:space="preserve"> </w:t>
      </w:r>
      <w:r>
        <w:rPr>
          <w:bCs/>
          <w:b/>
        </w:rPr>
        <w:t xml:space="preserve">gradient ICRV</w:t>
      </w:r>
      <w:r>
        <w:t xml:space="preserve">: cùng một mức độ quốc tế hóa (FSTS) mang lại hiệu quả rất khác nhau tùy thuộc vào chế độ thể chế mà doanh nghiệp hoạt động. Bằng chứng từ hai nguồn độc lập — phân tích meta-analytic (P6,</w:t>
      </w:r>
      <w:r>
        <w:t xml:space="preserve">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và phân tích dữ liệu sơ cấp toàn mẫu (P7,</w:t>
      </w:r>
      <w:r>
        <w:t xml:space="preserve"> </w:t>
      </w:r>
      <m:oMath>
        <m:r>
          <m:t>N</m:t>
        </m:r>
        <m:r>
          <m:rPr>
            <m:sty m:val="p"/>
          </m:rPr>
          <m:t>=</m:t>
        </m:r>
        <m:r>
          <m:t>84.910</m:t>
        </m:r>
      </m:oMath>
      <w:r>
        <w:t xml:space="preserve"> </w:t>
      </w:r>
      <w:r>
        <w:t xml:space="preserve">từ 49 nền kinh tế) — đều chỉ đến cùng một kết luận: turning point của quan hệ I→P</w:t>
      </w:r>
      <w:r>
        <w:t xml:space="preserve"> </w:t>
      </w:r>
      <w:r>
        <w:rPr>
          <w:bCs/>
          <w:b/>
        </w:rPr>
        <w:t xml:space="preserve">giảm dần</w:t>
      </w:r>
      <w:r>
        <w:t xml:space="preserve"> </w:t>
      </w:r>
      <w:r>
        <w:t xml:space="preserve">từ SIDS/Frontier (~55% FSTS) xuống Emerging, Upper-middle, Advanced Resource, và Advanced Innovation (~28% FSTS) — tức là nền kinh tế thể chế mạnh hơn đạt đỉnh hiệu quả tại mức FSTS thấp hơn.</w:t>
      </w:r>
    </w:p>
    <w:p>
      <w:pPr>
        <w:pStyle w:val="BodyText"/>
      </w:pPr>
      <w:r>
        <w:t xml:space="preserve">Kết quả này xác nhận H5 và tầng thể chế của khung lý thuyết CDCM theo một cách thuyết phục nhất: không phải chỉ một moderator đơn lẻ mà là</w:t>
      </w:r>
      <w:r>
        <w:t xml:space="preserve"> </w:t>
      </w:r>
      <w:r>
        <w:rPr>
          <w:bCs/>
          <w:b/>
        </w:rPr>
        <w:t xml:space="preserve">cả một chế độ thể chế</w:t>
      </w:r>
      <w:r>
        <w:t xml:space="preserve"> </w:t>
      </w:r>
      <w:r>
        <w:t xml:space="preserve">— được vận hành hóa thành sáu sub-regime ICRV — xác định điều kiện biên cho quan hệ I→P. Institutional Theory của North (1990) và Khanna và Palepu (2010) dự đoán rằng thể chế định hình chi phí giao dịch và cấu trúc khuyến khích; kết quả ICRV gradient là biểu hiện thực nghiệm của cơ chế này ở quy mô 49 nền kinh tế châu Á và Thái Bình Dương (P7).</w:t>
      </w:r>
    </w:p>
    <w:p>
      <w:pPr>
        <w:pStyle w:val="BodyText"/>
      </w:pPr>
      <w:r>
        <w:t xml:space="preserve">Về mặt lý thuyết, gradient ICRV có thể được hiểu qua hai cơ chế bổ sung cho nhau. Cơ chế thứ nhất là</w:t>
      </w:r>
      <w:r>
        <w:t xml:space="preserve"> </w:t>
      </w:r>
      <w:r>
        <w:rPr>
          <w:bCs/>
          <w:b/>
        </w:rPr>
        <w:t xml:space="preserve">giảm chi phí giao dịch</w:t>
      </w:r>
      <w:r>
        <w:t xml:space="preserve">: thể chế chất lượng cao (hệ thống pháp lý, bảo vệ quyền sở hữu trí tuệ, thực thi hợp đồng) làm giảm chi phí xuyên biên giới, cho phép doanh nghiệp duy trì đà tăng trưởng hiệu quả đến mức FSTS cao hơn. Cơ chế thứ hai là</w:t>
      </w:r>
      <w:r>
        <w:t xml:space="preserve"> </w:t>
      </w:r>
      <w:r>
        <w:rPr>
          <w:bCs/>
          <w:b/>
        </w:rPr>
        <w:t xml:space="preserve">khuếch đại năng lực</w:t>
      </w:r>
      <w:r>
        <w:t xml:space="preserve">: môi trường thể chế tốt cũng có nghĩa là hệ sinh thái dịch vụ hỗ trợ (logistics, tài chính thương mại, tư vấn pháp lý quốc tế) phát triển, làm giảm gánh nặng điều phối nội bộ của doanh nghiệp khi mở rộng quốc tế.</w:t>
      </w:r>
    </w:p>
    <w:bookmarkEnd w:id="50"/>
    <w:bookmarkStart w:id="51" w:name="X49fe7c9f8cdd3930e11cda3dd359bf7233b04b5"/>
    <w:p>
      <w:pPr>
        <w:pStyle w:val="Heading3"/>
      </w:pPr>
      <w:r>
        <w:t xml:space="preserve">5.1.2 TCI là Năng Lực Nền Tảng — Xác nhận H2</w:t>
      </w:r>
    </w:p>
    <w:p>
      <w:pPr>
        <w:pStyle w:val="FirstParagraph"/>
      </w:pPr>
      <w:r>
        <w:t xml:space="preserve">Technological Capability Index (TCI) nhất quán cho thấy</w:t>
      </w:r>
      <w:r>
        <w:t xml:space="preserve"> </w:t>
      </w:r>
      <w:r>
        <w:rPr>
          <w:bCs/>
          <w:b/>
        </w:rPr>
        <w:t xml:space="preserve">hiệu ứng nâng mặt bằng năng suất dương</w:t>
      </w:r>
      <w:r>
        <w:t xml:space="preserve"> </w:t>
      </w:r>
      <w:r>
        <w:t xml:space="preserve">tại tất cả các mẫu (Việt Nam P3, Trung Quốc P5, toàn mẫu P7: ~41% tăng năng suất/đơn vị SD). TCI chỉ</w:t>
      </w:r>
      <w:r>
        <w:t xml:space="preserve"> </w:t>
      </w:r>
      <w:r>
        <w:rPr>
          <w:bCs/>
          <w:b/>
        </w:rPr>
        <w:t xml:space="preserve">điều tiết hình dạng đường cong I→P</w:t>
      </w:r>
      <w:r>
        <w:t xml:space="preserve"> </w:t>
      </w:r>
      <w:r>
        <w:t xml:space="preserve">tại bối cảnh quốc gia cụ thể (P3 Việt Nam); ở toàn mẫu P7 (49 nền kinh tế đa dạng thể chế), tương tác FSTS×TCI không có ý nghĩa. H2 được</w:t>
      </w:r>
      <w:r>
        <w:t xml:space="preserve"> </w:t>
      </w:r>
      <w:r>
        <w:rPr>
          <w:bCs/>
          <w:b/>
        </w:rPr>
        <w:t xml:space="preserve">xác nhận một phần</w:t>
      </w:r>
      <w:r>
        <w:t xml:space="preserve">, xác nhận vai trò của TCI là</w:t>
      </w:r>
      <w:r>
        <w:t xml:space="preserve"> </w:t>
      </w:r>
      <w:r>
        <w:rPr>
          <w:bCs/>
          <w:b/>
        </w:rPr>
        <w:t xml:space="preserve">năng lực nền tảng</w:t>
      </w:r>
      <w:r>
        <w:t xml:space="preserve"> </w:t>
      </w:r>
      <w:r>
        <w:t xml:space="preserve">(foundational capability) trong khung CDCM: doanh nghiệp có năng lực công nghệ sâu hơn — được đo bằng tiếp cận công nghệ nước ngoài, chi tiêu R&amp;D, đổi mới sản phẩm và chứng nhận chất lượng — tạo ra giá trị cao hơn từ cùng một mức độ quốc tế hóa, nhưng vai trò uốn đường cong là context-contingent.</w:t>
      </w:r>
    </w:p>
    <w:p>
      <w:pPr>
        <w:pStyle w:val="BodyText"/>
      </w:pPr>
      <w:r>
        <w:t xml:space="preserve">Cơ chế lý thuyết đằng sau kết quả này bắt nguồn từ Resource-Based View (Barney, 1991): TCI là nguồn lực VRIN (có giá trị, hiếm, khó sao chép, khó thay thế), do đó tạo ra lợi thế cạnh tranh bền vững ngay cả khi doanh nghiệp mở rộng ra thị trường nước ngoài với mức độ bất định cao. Năng lực công nghệ cũng tạo ra absorptive capacity (Cohen &amp; Levinthal, 1990) — khả năng hấp thu và tích hợp tri thức từ thị trường nước ngoài — giúp doanh nghiệp học hỏi hiệu quả hơn trong quá trình quốc tế hóa, nhất quán với learning loop của Uppsala model (Johanson &amp; Vahlne, 1977).</w:t>
      </w:r>
    </w:p>
    <w:bookmarkEnd w:id="51"/>
    <w:bookmarkStart w:id="52" w:name="Xa91918a719079ebfa81edd5c575587c3bf67faa"/>
    <w:p>
      <w:pPr>
        <w:pStyle w:val="Heading3"/>
      </w:pPr>
      <w:r>
        <w:t xml:space="preserve">5.1.3 DAI là Nguồn Lực Tình Huống — Hỗ trợ một phần H3</w:t>
      </w:r>
    </w:p>
    <w:p>
      <w:pPr>
        <w:pStyle w:val="FirstParagraph"/>
      </w:pPr>
      <w:r>
        <w:t xml:space="preserve">Kết quả về Digital Adoption Index (DAI) phức tạp hơn và có nhiều sắc thái hơn so với TCI. Trên toàn mẫu P7, DAI có hiệu ứng nâng mặt bằng dương (</w:t>
      </w:r>
      <m:oMath>
        <m:acc>
          <m:accPr>
            <m:chr m:val="̂"/>
          </m:accPr>
          <m:e>
            <m:r>
              <m:t>β</m:t>
            </m:r>
          </m:e>
        </m:acc>
        <m:r>
          <m:rPr>
            <m:sty m:val="p"/>
          </m:rPr>
          <m:t>=</m:t>
        </m:r>
        <m:r>
          <m:rPr>
            <m:sty m:val="p"/>
          </m:rPr>
          <m:t>+</m:t>
        </m:r>
        <m:r>
          <m:t>0</m:t>
        </m:r>
        <m:r>
          <m:rPr>
            <m:sty m:val="p"/>
          </m:rPr>
          <m:t>,</m:t>
        </m:r>
        <m:r>
          <m:t>155</m:t>
        </m:r>
      </m:oMath>
      <w:r>
        <w:t xml:space="preserve">,</w:t>
      </w:r>
      <w:r>
        <w:t xml:space="preserve"> </w:t>
      </w:r>
      <m:oMath>
        <m:r>
          <m:t>p</m:t>
        </m:r>
        <m:r>
          <m:rPr>
            <m:sty m:val="p"/>
          </m:rPr>
          <m:t>&lt;</m:t>
        </m:r>
        <m:r>
          <m:rPr>
            <m:sty m:val="p"/>
          </m:rPr>
          <m:t>,</m:t>
        </m:r>
        <m:r>
          <m:t>001</m:t>
        </m:r>
      </m:oMath>
      <w:r>
        <w:t xml:space="preserve">) và cả hai tương tác điều tiết đường cong đều có ý nghĩa (FSTS×DAI</w:t>
      </w:r>
      <w:r>
        <w:t xml:space="preserve"> </w:t>
      </w:r>
      <m:oMath>
        <m:r>
          <m:t>p</m:t>
        </m:r>
        <m:r>
          <m:rPr>
            <m:sty m:val="p"/>
          </m:rPr>
          <m:t>&lt;</m:t>
        </m:r>
        <m:r>
          <m:rPr>
            <m:sty m:val="p"/>
          </m:rPr>
          <m:t>,</m:t>
        </m:r>
        <m:r>
          <m:t>001</m:t>
        </m:r>
      </m:oMath>
      <w:r>
        <w:t xml:space="preserve">; FSTS²×DAI</w:t>
      </w:r>
      <w:r>
        <w:t xml:space="preserve"> </w:t>
      </w:r>
      <m:oMath>
        <m:r>
          <m:t>p</m:t>
        </m:r>
        <m:r>
          <m:rPr>
            <m:sty m:val="p"/>
          </m:rPr>
          <m:t>&lt;</m:t>
        </m:r>
        <m:r>
          <m:rPr>
            <m:sty m:val="p"/>
          </m:rPr>
          <m:t>,</m:t>
        </m:r>
        <m:r>
          <m:t>01</m:t>
        </m:r>
      </m:oMath>
      <w:r>
        <w:t xml:space="preserve">). Tương tác DAI×ICRV (</w:t>
      </w:r>
      <m:oMath>
        <m:r>
          <m:t>p</m:t>
        </m:r>
        <m:r>
          <m:rPr>
            <m:sty m:val="p"/>
          </m:rPr>
          <m:t>=</m:t>
        </m:r>
        <m:r>
          <m:rPr>
            <m:sty m:val="p"/>
          </m:rPr>
          <m:t>,</m:t>
        </m:r>
        <m:r>
          <m:t>012</m:t>
        </m:r>
      </m:oMath>
      <w:r>
        <w:t xml:space="preserve">) xác nhận DAI mạnh hơn tại bối cảnh thể chế yếu hơn — ngụ ý DAI bù đắp cho thiếu hụt thể chế hơn là khuếch đại lợi thế thể chế đã có. Tại Singapore (P4, DAI Tier-1+2), DAI phát huy rõ dưới dạng amplification effect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3</m:t>
        </m:r>
        <m:r>
          <m:rPr>
            <m:sty m:val="p"/>
          </m:rPr>
          <m:t>,</m:t>
        </m:r>
        <m:r>
          <m:t>119</m:t>
        </m:r>
      </m:oMath>
      <w:r>
        <w:t xml:space="preserve">). Tại Việt Nam (P3, Tier-1 only, IV-estimated), DAI null phản ánh hạn chế đo lường và selection bias hơn là bác bỏ H3.</w:t>
      </w:r>
    </w:p>
    <w:p>
      <w:pPr>
        <w:pStyle w:val="BodyText"/>
      </w:pPr>
      <w:r>
        <w:t xml:space="preserve">Kết quả này hỗ trợ lập luận trong khung CDCM rằng DAI là</w:t>
      </w:r>
      <w:r>
        <w:t xml:space="preserve"> </w:t>
      </w:r>
      <w:r>
        <w:rPr>
          <w:bCs/>
          <w:b/>
        </w:rPr>
        <w:t xml:space="preserve">nguồn lực tình huống</w:t>
      </w:r>
      <w:r>
        <w:t xml:space="preserve"> </w:t>
      </w:r>
      <w:r>
        <w:t xml:space="preserve">(situational resource): bản thân hiệu ứng nâng mặt bằng là phổ quát, nhưng</w:t>
      </w:r>
      <w:r>
        <w:t xml:space="preserve"> </w:t>
      </w:r>
      <w:r>
        <w:rPr>
          <w:bCs/>
          <w:b/>
        </w:rPr>
        <w:t xml:space="preserve">cơ chế và độ lớn</w:t>
      </w:r>
      <w:r>
        <w:t xml:space="preserve"> </w:t>
      </w:r>
      <w:r>
        <w:t xml:space="preserve">của việc điều tiết đường cong I→P phụ thuộc bối cảnh ICRV. DAI×ICRV (</w:t>
      </w:r>
      <m:oMath>
        <m:r>
          <m:t>p</m:t>
        </m:r>
        <m:r>
          <m:rPr>
            <m:sty m:val="p"/>
          </m:rPr>
          <m:t>=</m:t>
        </m:r>
        <m:r>
          <m:rPr>
            <m:sty m:val="p"/>
          </m:rPr>
          <m:t>,</m:t>
        </m:r>
        <m:r>
          <m:t>012</m:t>
        </m:r>
      </m:oMath>
      <w:r>
        <w:t xml:space="preserve">) cho thấy DAI mạnh hơn tại thể chế yếu — "digital shield" bù đắp cho thiếu hụt thể chế, ngược với quan niệm truyền thống rằng DAI chỉ khuếch đại lợi thế đã có. Đây là điểm phân biệt quan trọng giữa TCI (foundational capability phổ quát) và DAI (situational resource với cơ chế phụ thuộc bối cảnh) trong đóng góp lý thuyết của luận án.</w:t>
      </w:r>
    </w:p>
    <w:p>
      <w:pPr>
        <w:pStyle w:val="BodyText"/>
      </w:pPr>
      <w:r>
        <w:t xml:space="preserve">Kết quả null về DAI tại Việt Nam (P3) phản ánh hạn chế đo lường (Tier-1 only, selection bias trong IV estimate) hơn là bác bỏ H3. Khi DAI được đo bằng Tier-1+2 như tại Singapore, hiệu ứng điều tiết xuất hiện rõ ràng hơn. Tất cả đo lường DAI trong luận án là</w:t>
      </w:r>
      <w:r>
        <w:t xml:space="preserve"> </w:t>
      </w:r>
      <w:r>
        <w:rPr>
          <w:bCs/>
          <w:b/>
        </w:rPr>
        <w:t xml:space="preserve">chỉ số chấp nhận số tĩnh</w:t>
      </w:r>
      <w:r>
        <w:t xml:space="preserve"> </w:t>
      </w:r>
      <w:r>
        <w:t xml:space="preserve">— không phải "dynamic digital capability" vì dữ liệu WBES không có đủ thang đo để đo lường tính động.</w:t>
      </w:r>
    </w:p>
    <w:bookmarkEnd w:id="52"/>
    <w:bookmarkStart w:id="53" w:name="Xcb7f2ad84aa9055072bb14b3529192ba58d8037"/>
    <w:p>
      <w:pPr>
        <w:pStyle w:val="Heading3"/>
      </w:pPr>
      <w:r>
        <w:t xml:space="preserve">5.1.4 FIP là Điều Kiện Biên Cực Đoan — H1b cho SIDS</w:t>
      </w:r>
    </w:p>
    <w:p>
      <w:pPr>
        <w:pStyle w:val="FirstParagraph"/>
      </w:pPr>
      <w:r>
        <w:t xml:space="preserve">Forced Internationalization Penalty (FIP) tại các nền kinh tế SIDS (</w:t>
      </w:r>
      <m:oMath>
        <m:r>
          <m:t>β</m:t>
        </m:r>
        <m:r>
          <m:rPr>
            <m:sty m:val="p"/>
          </m:rPr>
          <m:t>=</m:t>
        </m:r>
        <m:r>
          <m:rPr>
            <m:sty m:val="p"/>
          </m:rPr>
          <m:t>−</m:t>
        </m:r>
        <m:r>
          <m:t>0</m:t>
        </m:r>
        <m:r>
          <m:rPr>
            <m:sty m:val="p"/>
          </m:rPr>
          <m:t>,</m:t>
        </m:r>
        <m:r>
          <m:t>404</m:t>
        </m:r>
      </m:oMath>
      <w:r>
        <w:t xml:space="preserve">,</w:t>
      </w:r>
      <w:r>
        <w:t xml:space="preserve"> </w:t>
      </w:r>
      <m:oMath>
        <m:r>
          <m:t>p</m:t>
        </m:r>
        <m:r>
          <m:rPr>
            <m:sty m:val="p"/>
          </m:rPr>
          <m:t>=</m:t>
        </m:r>
        <m:r>
          <m:rPr>
            <m:sty m:val="p"/>
          </m:rPr>
          <m:t>,</m:t>
        </m:r>
        <m:r>
          <m:t>032</m:t>
        </m:r>
      </m:oMath>
      <w:r>
        <w:t xml:space="preserve">; mạnh hơn trong exporters-only) đại diện cho điều kiện biên mà CDCM không hoàn toàn dự báo trước trong phiên bản ban đầu của khung lý thuyết. FIP là biểu hiện của trường hợp khi</w:t>
      </w:r>
      <w:r>
        <w:t xml:space="preserve"> </w:t>
      </w:r>
      <w:r>
        <w:rPr>
          <w:bCs/>
          <w:b/>
        </w:rPr>
        <w:t xml:space="preserve">cả ba tầng của CDCM</w:t>
      </w:r>
      <w:r>
        <w:t xml:space="preserve"> </w:t>
      </w:r>
      <w:r>
        <w:t xml:space="preserve">(thể chế, năng lực, và quản trị) đều ở mức thấp: thể chế yếu, TCI thấp, DAI không phát huy tác dụng — thì quốc tế hóa không chỉ dừng ở mức không mang lại lợi ích mà còn gây tổn hại thực sự đến hiệu quả hoạt động kinh doanh.</w:t>
      </w:r>
    </w:p>
    <w:p>
      <w:pPr>
        <w:pStyle w:val="BodyText"/>
      </w:pPr>
      <w:r>
        <w:t xml:space="preserve">Quan hệ âm đơn điệu này khác về bản chất với quan hệ phi tuyến chữ U ngược: không có turning point trong phạm vi dữ liệu, nghĩa là không có mức FSTS nào mà doanh nghiệp SIDS có thể tận dụng để cải thiện hiệu quả thông qua xuất khẩu trong điều kiện hiện tại. Đây là ranh giới biên lý thuyết quan trọng cho models phi tuyến phổ quát trong literature I→P.</w:t>
      </w:r>
    </w:p>
    <w:p>
      <w:r>
        <w:pict>
          <v:rect style="width:0;height:1.5pt" o:hralign="center" o:hrstd="t" o:hr="t"/>
        </w:pict>
      </w:r>
    </w:p>
    <w:bookmarkEnd w:id="53"/>
    <w:bookmarkEnd w:id="54"/>
    <w:bookmarkStart w:id="58" w:name="X03371f9bf2ea7aa70b56c3fc263517b182b20aa"/>
    <w:p>
      <w:pPr>
        <w:pStyle w:val="Heading2"/>
      </w:pPr>
      <w:r>
        <w:t xml:space="preserve">5.2 So sánh với nghiên cứu trước đây</w:t>
      </w:r>
    </w:p>
    <w:bookmarkStart w:id="55" w:name="X6d63d205c02653fac9abe4b7c3c003ccf604ac6"/>
    <w:p>
      <w:pPr>
        <w:pStyle w:val="Heading3"/>
      </w:pPr>
      <w:r>
        <w:t xml:space="preserve">5.2.1 Nhất quán với baseline ICBEF 2024</w:t>
      </w:r>
    </w:p>
    <w:p>
      <w:pPr>
        <w:pStyle w:val="FirstParagraph"/>
      </w:pPr>
      <w:r>
        <w:t xml:space="preserve">Kết quả pooled effect</w:t>
      </w:r>
      <w:r>
        <w:t xml:space="preserve"> </w:t>
      </w:r>
      <m:oMath>
        <m:r>
          <m:t>r</m:t>
        </m:r>
        <m:r>
          <m:rPr>
            <m:sty m:val="p"/>
          </m:rPr>
          <m:t>=</m:t>
        </m:r>
        <m:r>
          <m:t>0</m:t>
        </m:r>
        <m:r>
          <m:rPr>
            <m:sty m:val="p"/>
          </m:rPr>
          <m:t>,</m:t>
        </m:r>
        <m:r>
          <m:t>074</m:t>
        </m:r>
      </m:oMath>
      <w:r>
        <w:t xml:space="preserve"> </w:t>
      </w:r>
      <w:r>
        <w:t xml:space="preserve">(P6) nhất quán hoàn toàn với</w:t>
      </w:r>
      <w:r>
        <w:t xml:space="preserve"> </w:t>
      </w:r>
      <m:oMath>
        <m:r>
          <m:t>r</m:t>
        </m:r>
        <m:r>
          <m:rPr>
            <m:sty m:val="p"/>
          </m:rPr>
          <m:t>=</m:t>
        </m:r>
        <m:r>
          <m:t>0</m:t>
        </m:r>
        <m:r>
          <m:rPr>
            <m:sty m:val="p"/>
          </m:rPr>
          <m:t>,</m:t>
        </m:r>
        <m:r>
          <m:t>07</m:t>
        </m:r>
      </m:oMath>
      <w:r>
        <w:t xml:space="preserve"> </w:t>
      </w:r>
      <w:r>
        <w:t xml:space="preserve">từ meta-analysis baseline đã công bố tại hội nghị ICBEF 2024 (Đỗ &amp; Phan, 2024). Sự hội tụ này là đáng kể vì P6 mở rộng pool lên</w:t>
      </w:r>
      <w:r>
        <w:t xml:space="preserve"> </w:t>
      </w:r>
      <m:oMath>
        <m:r>
          <m:t>k</m:t>
        </m:r>
        <m:r>
          <m:rPr>
            <m:sty m:val="p"/>
          </m:rPr>
          <m:t>=</m:t>
        </m:r>
        <m:r>
          <m:t>238</m:t>
        </m:r>
      </m:oMath>
      <w:r>
        <w:t xml:space="preserve"> </w:t>
      </w:r>
      <w:r>
        <w:t xml:space="preserve">so với</w:t>
      </w:r>
      <w:r>
        <w:t xml:space="preserve"> </w:t>
      </w:r>
      <m:oMath>
        <m:r>
          <m:t>k</m:t>
        </m:r>
        <m:r>
          <m:rPr>
            <m:sty m:val="p"/>
          </m:rPr>
          <m:t>=</m:t>
        </m:r>
        <m:r>
          <m:t>113</m:t>
        </m:r>
      </m:oMath>
      <w:r>
        <w:t xml:space="preserve">, đồng thời áp dụng cấu trúc ba tầng phức tạp hơn. Tính vững của pooled effect khi mở rộng pool nghiên cứu là bằng chứng về tính ổn định của baseline ước lượng.</w:t>
      </w:r>
    </w:p>
    <w:p>
      <w:pPr>
        <w:pStyle w:val="BodyText"/>
      </w:pPr>
      <w:r>
        <w:t xml:space="preserve">Tuy nhiên, đóng góp của P6 so với baseline không phải ở pooled</w:t>
      </w:r>
      <w:r>
        <w:t xml:space="preserve"> </w:t>
      </w:r>
      <m:oMath>
        <m:r>
          <m:t>r</m:t>
        </m:r>
      </m:oMath>
      <w:r>
        <w:t xml:space="preserve"> </w:t>
      </w:r>
      <w:r>
        <w:t xml:space="preserve">mà ở cấu trúc dị biệt: phân tách</w:t>
      </w:r>
      <w:r>
        <w:t xml:space="preserve"> </w:t>
      </w:r>
      <m:oMath>
        <m:sSup>
          <m:e>
            <m:r>
              <m:t>I</m:t>
            </m:r>
          </m:e>
          <m:sup>
            <m:r>
              <m:t>2</m:t>
            </m:r>
          </m:sup>
        </m:sSup>
        <m:r>
          <m:rPr>
            <m:sty m:val="p"/>
          </m:rPr>
          <m:t>=</m:t>
        </m:r>
        <m:r>
          <m:t>62</m:t>
        </m:r>
        <m:r>
          <m:rPr>
            <m:sty m:val="p"/>
          </m:rPr>
          <m:t>,</m:t>
        </m:r>
        <m:r>
          <m:t>4</m:t>
        </m:r>
        <m:r>
          <m:rPr>
            <m:sty m:val="p"/>
          </m:rPr>
          <m:t>%</m:t>
        </m:r>
      </m:oMath>
      <w:r>
        <w:t xml:space="preserve"> </w:t>
      </w:r>
      <w:r>
        <w:t xml:space="preserve">thành 54,1% tầng 2 và 8,4% tầng 3 là thông tin mới mà phân tích meta đơn tầng không cung cấp. Điều này thay đổi hiểu biết về nguồn gốc của heterogeneity trong literature — vấn đề chủ yếu là</w:t>
      </w:r>
      <w:r>
        <w:t xml:space="preserve"> </w:t>
      </w:r>
      <w:r>
        <w:rPr>
          <w:bCs/>
          <w:b/>
        </w:rPr>
        <w:t xml:space="preserve">đo lường bên trong nghiên cứu</w:t>
      </w:r>
      <w:r>
        <w:t xml:space="preserve">, không phải sự bất đồng căn bản giữa các nghiên cứu.</w:t>
      </w:r>
    </w:p>
    <w:bookmarkEnd w:id="55"/>
    <w:bookmarkStart w:id="56" w:name="X3dc86f682c3e5e98bd0a470c7f8482e8e79f6fb"/>
    <w:p>
      <w:pPr>
        <w:pStyle w:val="Heading3"/>
      </w:pPr>
      <w:r>
        <w:t xml:space="preserve">5.2.2 Vượt qua Lu và Beamish (2004) và Contractor et al. (2003)</w:t>
      </w:r>
    </w:p>
    <w:p>
      <w:pPr>
        <w:pStyle w:val="FirstParagraph"/>
      </w:pPr>
      <w:r>
        <w:t xml:space="preserve">Lu và Beamish (2004) và Contractor et al. (2003) là hai công trình nền tảng về quan hệ phi tuyến I→P. Lu và Beamish (2004) tìm turning point khoảng 60% FSTS trong mẫu doanh nghiệp Nhật Bản, trong khi Contractor et al. (2003) đề xuất S-curve ba giai đoạn. Luận án này vượt qua hai công trình đó theo ba hướng:</w:t>
      </w:r>
    </w:p>
    <w:p>
      <w:pPr>
        <w:pStyle w:val="BodyText"/>
      </w:pPr>
      <w:r>
        <w:rPr>
          <w:bCs/>
          <w:b/>
        </w:rPr>
        <w:t xml:space="preserve">Thứ nhất</w:t>
      </w:r>
      <w:r>
        <w:t xml:space="preserve">, luận án chứng minh rằng turning point</w:t>
      </w:r>
      <w:r>
        <w:t xml:space="preserve"> </w:t>
      </w:r>
      <w:r>
        <w:rPr>
          <w:bCs/>
          <w:b/>
        </w:rPr>
        <w:t xml:space="preserve">không cố định</w:t>
      </w:r>
      <w:r>
        <w:t xml:space="preserve"> </w:t>
      </w:r>
      <w:r>
        <w:t xml:space="preserve">mà phụ thuộc vào bối cảnh ICRV: từ TP ≈ 82% (Singapore — Advanced Innovation) đến TP ≈ 39,7% (Việt Nam pooled — Lower-mid Transition), với Trung Quốc ở mức trung gian (TP ≈ 48,78%). Không có một turning point phổ quát cho tất cả bối cảnh.</w:t>
      </w:r>
    </w:p>
    <w:p>
      <w:pPr>
        <w:pStyle w:val="BodyText"/>
      </w:pPr>
      <w:r>
        <w:rPr>
          <w:bCs/>
          <w:b/>
        </w:rPr>
        <w:t xml:space="preserve">Thứ hai</w:t>
      </w:r>
      <w:r>
        <w:t xml:space="preserve">, luận án xác định trường hợp biên FIP tại SIDS — không phải là S-curve hay inverted-U mà là quan hệ âm đơn điệu — điều mà cả ba-stage theory lẫn S-curve không dự báo được.</w:t>
      </w:r>
    </w:p>
    <w:p>
      <w:pPr>
        <w:pStyle w:val="BodyText"/>
      </w:pPr>
      <w:r>
        <w:rPr>
          <w:bCs/>
          <w:b/>
        </w:rPr>
        <w:t xml:space="preserve">Thứ ba</w:t>
      </w:r>
      <w:r>
        <w:t xml:space="preserve">, luận án mở rộng khung phân tích từ dữ liệu doanh nghiệp Nhật Bản/đa quốc gia sang 47–49 nền kinh tế châu Á và Thái Bình Dương — bối cảnh underrepresented trong literature Lu và Beamish.</w:t>
      </w:r>
    </w:p>
    <w:bookmarkEnd w:id="56"/>
    <w:bookmarkStart w:id="57" w:name="X0883d912591c701a2f1b2fed71cedb09e738376"/>
    <w:p>
      <w:pPr>
        <w:pStyle w:val="Heading3"/>
      </w:pPr>
      <w:r>
        <w:t xml:space="preserve">5.2.3 Mở rộng Marano et al. (2016) — ICRV thay thế binary institutional quality</w:t>
      </w:r>
    </w:p>
    <w:p>
      <w:pPr>
        <w:pStyle w:val="FirstParagraph"/>
      </w:pPr>
      <w:r>
        <w:t xml:space="preserve">Marano et al. (2016) là meta-analysis quan trọng nhất trong literature gần đây, cung cấp bằng chứng về vai trò điều tiết của home country institutions trong I→P relationship. Tuy nhiên, Marano et al. sử dụng phân loại binary (developed vs. emerging) hoặc continuous institutional quality scores.</w:t>
      </w:r>
    </w:p>
    <w:p>
      <w:pPr>
        <w:pStyle w:val="BodyText"/>
      </w:pPr>
      <w:r>
        <w:t xml:space="preserve">Luận án này mở rộng Marano et al. (2016) theo hướng</w:t>
      </w:r>
      <w:r>
        <w:t xml:space="preserve"> </w:t>
      </w:r>
      <w:r>
        <w:rPr>
          <w:bCs/>
          <w:b/>
        </w:rPr>
        <w:t xml:space="preserve">phân loại đa chiều</w:t>
      </w:r>
      <w:r>
        <w:t xml:space="preserve">: ICRV sáu sub-regime nắm bắt được sự đa dạng trong nội bộ nhóm "emerging" (phân biệt Upper-middle Trung Quốc với Lower-mid Việt Nam với Frontier Bangladesh và SIDS) và nhóm "advanced" (phân biệt Advanced Innovation Singapore với Advanced Resource GCC). Phân loại nhị phân bỏ sót sự biến thiên quan trọng này, dẫn đến mất thông tin về gradient.</w:t>
      </w:r>
    </w:p>
    <w:p>
      <w:pPr>
        <w:pStyle w:val="BodyText"/>
      </w:pPr>
      <w:r>
        <w:t xml:space="preserve">Ngoài ra, luận án sử dụng phương pháp MARA ba tầng để phân tách cấu trúc dị biệt — một cải tiến phương pháp so với random-effects meta-analysis đơn tầng của Marano et al. (2016).</w:t>
      </w:r>
    </w:p>
    <w:p>
      <w:r>
        <w:pict>
          <v:rect style="width:0;height:1.5pt" o:hralign="center" o:hrstd="t" o:hr="t"/>
        </w:pict>
      </w:r>
    </w:p>
    <w:bookmarkEnd w:id="57"/>
    <w:bookmarkEnd w:id="58"/>
    <w:bookmarkStart w:id="62" w:name="X358b70cb0587073926db05a46d0ec729e84bb90"/>
    <w:p>
      <w:pPr>
        <w:pStyle w:val="Heading2"/>
      </w:pPr>
      <w:r>
        <w:t xml:space="preserve">5.3 Đóng góp lý thuyết</w:t>
      </w:r>
    </w:p>
    <w:bookmarkStart w:id="59" w:name="X29f632bb883bf22d2c2cdeac758fdcc4dae2054"/>
    <w:p>
      <w:pPr>
        <w:pStyle w:val="Heading3"/>
      </w:pPr>
      <w:r>
        <w:t xml:space="preserve">5.3.1 CDCM — Mở rộng khung lý thuyết về DAI là nguồn lực tình huống</w:t>
      </w:r>
    </w:p>
    <w:p>
      <w:pPr>
        <w:pStyle w:val="FirstParagraph"/>
      </w:pPr>
      <w:r>
        <w:t xml:space="preserve">Đóng góp lý thuyết đầu tiên là làm rõ</w:t>
      </w:r>
      <w:r>
        <w:t xml:space="preserve"> </w:t>
      </w:r>
      <w:r>
        <w:rPr>
          <w:bCs/>
          <w:b/>
        </w:rPr>
        <w:t xml:space="preserve">bản chất của DAI</w:t>
      </w:r>
      <w:r>
        <w:t xml:space="preserve"> </w:t>
      </w:r>
      <w:r>
        <w:t xml:space="preserve">trong khung CDCM. Phát hiện rằng DAI có hiệu ứng nâng mặt bằng phổ quát (β=+0.155, p&lt;.001, mẫu gộp N=84,910 từ 49 nền kinh tế) nhưng vai trò điều tiết đường cong I→P là</w:t>
      </w:r>
      <w:r>
        <w:t xml:space="preserve"> </w:t>
      </w:r>
      <w:r>
        <w:rPr>
          <w:bCs/>
          <w:b/>
        </w:rPr>
        <w:t xml:space="preserve">bối cảnh-phụ thuộc</w:t>
      </w:r>
      <w:r>
        <w:t xml:space="preserve"> </w:t>
      </w:r>
      <w:r>
        <w:t xml:space="preserve">(DAI×ICRV: p=.012) gợi ý rằng DAI không phải là foundational capability (như TCI) mà là</w:t>
      </w:r>
      <w:r>
        <w:t xml:space="preserve"> </w:t>
      </w:r>
      <w:r>
        <w:rPr>
          <w:bCs/>
          <w:b/>
        </w:rPr>
        <w:t xml:space="preserve">situational resource</w:t>
      </w:r>
      <w:r>
        <w:t xml:space="preserve"> </w:t>
      </w:r>
      <w:r>
        <w:t xml:space="preserve">— tài nguyên có vai trò thay đổi theo bối cảnh thể chế. Đặc biệt, DAI×ICRV (p=.012) cho thấy hiệu ứng điều tiết của DAI</w:t>
      </w:r>
      <w:r>
        <w:t xml:space="preserve"> </w:t>
      </w:r>
      <w:r>
        <w:rPr>
          <w:bCs/>
          <w:b/>
        </w:rPr>
        <w:t xml:space="preserve">mạnh hơn</w:t>
      </w:r>
      <w:r>
        <w:t xml:space="preserve"> </w:t>
      </w:r>
      <w:r>
        <w:t xml:space="preserve">tại các nền kinh tế thể chế yếu hơn (Frontier, SIDS), không phải tại Advanced — "digital shield" bù đắp cho thiếu hụt thể chế.</w:t>
      </w:r>
    </w:p>
    <w:p>
      <w:pPr>
        <w:pStyle w:val="BodyText"/>
      </w:pPr>
      <w:r>
        <w:t xml:space="preserve">Điều này có hàm ý lý thuyết quan trọng cho RBV và digital capability literature (Bhandari et al., 2023; Verhoef et al., 2021): không phải mọi nguồn lực số đều tạo ra lợi thế cạnh tranh theo cùng một cơ chế trong mọi bối cảnh. Giá trị của DAI là</w:t>
      </w:r>
      <w:r>
        <w:t xml:space="preserve"> </w:t>
      </w:r>
      <w:r>
        <w:rPr>
          <w:bCs/>
          <w:b/>
        </w:rPr>
        <w:t xml:space="preserve">complementary asset</w:t>
      </w:r>
      <w:r>
        <w:t xml:space="preserve"> </w:t>
      </w:r>
      <w:r>
        <w:t xml:space="preserve">(Teece, 1986) với bối cảnh thể chế — nhưng theo hướng</w:t>
      </w:r>
      <w:r>
        <w:t xml:space="preserve"> </w:t>
      </w:r>
      <w:r>
        <w:rPr>
          <w:bCs/>
          <w:b/>
        </w:rPr>
        <w:t xml:space="preserve">nghịch chiều</w:t>
      </w:r>
      <w:r>
        <w:t xml:space="preserve">: DAI hoạt động như lá chắn bù đắp (compensatory asset) trong bối cảnh thể chế yếu, nơi hạ tầng thể chế chưa đủ hỗ trợ cho doanh nghiệp xuất khẩu. Đây là bằng chứng thực nghiệm bổ sung cho lý thuyết về vai trò thay thế giữa thể chế và năng lực số.</w:t>
      </w:r>
    </w:p>
    <w:p>
      <w:pPr>
        <w:pStyle w:val="BodyText"/>
      </w:pPr>
      <w:r>
        <w:t xml:space="preserve">Cần lưu ý thêm một hạn chế quan trọng: trong toàn bộ luận án, DAI được đo lường dựa trên dữ liệu WBES, vốn có quy mô đo lường hạn chế (không đủ để tạo thang đo "dynamic"). Do đó, DAI trong luận án được hiểu là</w:t>
      </w:r>
      <w:r>
        <w:t xml:space="preserve"> </w:t>
      </w:r>
      <w:r>
        <w:rPr>
          <w:bCs/>
          <w:b/>
        </w:rPr>
        <w:t xml:space="preserve">static digital adoption index</w:t>
      </w:r>
      <w:r>
        <w:t xml:space="preserve"> </w:t>
      </w:r>
      <w:r>
        <w:t xml:space="preserve">— mức độ chấp nhận số tại một thời điểm — chứ không phải là "dynamic digital capability" theo nghĩa của dynamic capabilities theory (Teece et al., 1997). Đây là giới hạn về độ trung thực khái niệm mà các nghiên cứu tương lai cần khắc phục.</w:t>
      </w:r>
    </w:p>
    <w:bookmarkEnd w:id="59"/>
    <w:bookmarkStart w:id="60" w:name="X792bf669d8aaad9c154022edb47ba6166013782"/>
    <w:p>
      <w:pPr>
        <w:pStyle w:val="Heading3"/>
      </w:pPr>
      <w:r>
        <w:t xml:space="preserve">5.3.2 FIP — Khái niệm mới về trường hợp biên cho SIDS</w:t>
      </w:r>
    </w:p>
    <w:p>
      <w:pPr>
        <w:pStyle w:val="FirstParagraph"/>
      </w:pPr>
      <w:r>
        <w:t xml:space="preserve">Đóng góp lý thuyết thứ hai là đề xuất và đặt tên cho</w:t>
      </w:r>
      <w:r>
        <w:t xml:space="preserve"> </w:t>
      </w:r>
      <w:r>
        <w:rPr>
          <w:bCs/>
          <w:b/>
        </w:rPr>
        <w:t xml:space="preserve">Forced Internationalization Penalty (FIP)</w:t>
      </w:r>
      <w:r>
        <w:t xml:space="preserve"> </w:t>
      </w:r>
      <w:r>
        <w:t xml:space="preserve">— một construct lý thuyết mới chưa được định danh trong literature kinh doanh quốc tế — như một hiện tượng lý thuyết độc lập, khác biệt về bản chất với "phase 1 downward slope" trong S-curve theory. FIP không phải là giai đoạn đầu của quá trình học hỏi (learning costs) như mô hình Uppsala dự đoán, mà là một trạng thái cấu trúc bất lợi dài hạn: doanh nghiệp SIDS phải xuất khẩu để tồn tại (do thị trường nội địa quá nhỏ) nhưng không có năng lực và môi trường để đạt lợi thế từ xuất khẩu.</w:t>
      </w:r>
    </w:p>
    <w:p>
      <w:pPr>
        <w:pStyle w:val="BodyText"/>
      </w:pPr>
      <w:r>
        <w:t xml:space="preserve">Khái niệm FIP mở ra hướng nghiên cứu mới về</w:t>
      </w:r>
      <w:r>
        <w:t xml:space="preserve"> </w:t>
      </w:r>
      <w:r>
        <w:rPr>
          <w:bCs/>
          <w:b/>
        </w:rPr>
        <w:t xml:space="preserve">điều kiện biên của lý thuyết quốc tế hóa</w:t>
      </w:r>
      <w:r>
        <w:t xml:space="preserve">: trong điều kiện nào thì "more internationalization" luôn là "worse performance"? Luận án đề xuất rằng FIP xuất hiện khi ba điều kiện đồng thời: (i) thể chế ICRV ở mức thấp nhất, (ii) quy mô nền kinh tế quá nhỏ để tạo cơ sở nội địa, và (iii) thiếu hỗ trợ năng lực xuất khẩu từ chính sách. Kết hợp ba điều kiện này tạo ra "trap" — bẫy quốc tế hóa bắt buộc — mà không có turning point để thoát khỏi.</w:t>
      </w:r>
    </w:p>
    <w:bookmarkEnd w:id="60"/>
    <w:bookmarkStart w:id="61" w:name="Xc949420910752534bec0d1fee728c7a813a2f68"/>
    <w:p>
      <w:pPr>
        <w:pStyle w:val="Heading3"/>
      </w:pPr>
      <w:r>
        <w:t xml:space="preserve">5.3.3 ICRV 6-Regime — Phân loại thể chế đặc thù cho khu vực châu Á — Thái Bình Dương</w:t>
      </w:r>
    </w:p>
    <w:p>
      <w:pPr>
        <w:pStyle w:val="FirstParagraph"/>
      </w:pPr>
      <w:r>
        <w:t xml:space="preserve">Đóng góp lý thuyết thứ ba là phát triển và kiểm định</w:t>
      </w:r>
      <w:r>
        <w:t xml:space="preserve"> </w:t>
      </w:r>
      <w:r>
        <w:rPr>
          <w:bCs/>
          <w:b/>
        </w:rPr>
        <w:t xml:space="preserve">khung ICRV sáu sub-regime</w:t>
      </w:r>
      <w:r>
        <w:t xml:space="preserve"> </w:t>
      </w:r>
      <w:r>
        <w:t xml:space="preserve">như một công cụ phân loại thể chế đặc thù cho khu vực châu Á — Thái Bình Dương, thay thế cho các phân loại binary (developed/emerging) hoặc continuous (WGI scores) trong literature hiện tại.</w:t>
      </w:r>
    </w:p>
    <w:p>
      <w:pPr>
        <w:pStyle w:val="BodyText"/>
      </w:pPr>
      <w:r>
        <w:t xml:space="preserve">ICRV nắm bắt được sự đa dạng thể chế chưa từng được vận hành hóa đầy đủ: sự khác biệt giữa Singapore (Advanced Innovation, kết hợp pháp quyền mạnh và hệ sinh thái đổi mới) với GCC (Advanced Resource, kết hợp giàu tài nguyên nhưng hệ sinh thái đổi mới khác), và sự khác biệt giữa Trung Quốc (Upper-middle, chính phủ can thiệp mạnh) với Việt Nam (Lower-mid Transition, đang trong quá trình cải cách) với Bangladesh (Frontier, institutional voids cao). ICRV không chỉ là taxonomy mô tả mà còn là taxonomy</w:t>
      </w:r>
      <w:r>
        <w:t xml:space="preserve"> </w:t>
      </w:r>
      <w:r>
        <w:rPr>
          <w:bCs/>
          <w:b/>
        </w:rPr>
        <w:t xml:space="preserve">dự đoán</w:t>
      </w:r>
      <w:r>
        <w:t xml:space="preserve">: turning point I→P</w:t>
      </w:r>
      <w:r>
        <w:t xml:space="preserve"> </w:t>
      </w:r>
      <w:r>
        <w:rPr>
          <w:bCs/>
          <w:b/>
        </w:rPr>
        <w:t xml:space="preserve">giảm</w:t>
      </w:r>
      <w:r>
        <w:t xml:space="preserve"> </w:t>
      </w:r>
      <w:r>
        <w:t xml:space="preserve">đơn điệu theo chiều từ SIDS/Frontier (~55%) xuống Advanced Innovation (~28%) — thể chế càng mạnh, doanh nghiệp đạt đỉnh hiệu quả ở mức quốc tế hóa thấp hơn — xác nhận giá trị dự đoán của phân loại.</w:t>
      </w:r>
    </w:p>
    <w:p>
      <w:r>
        <w:pict>
          <v:rect style="width:0;height:1.5pt" o:hralign="center" o:hrstd="t" o:hr="t"/>
        </w:pict>
      </w:r>
    </w:p>
    <w:bookmarkEnd w:id="61"/>
    <w:bookmarkEnd w:id="62"/>
    <w:bookmarkStart w:id="66" w:name="X7f421bdff8617930b20eb51cd2d551d777f85e9"/>
    <w:p>
      <w:pPr>
        <w:pStyle w:val="Heading2"/>
      </w:pPr>
      <w:r>
        <w:t xml:space="preserve">5.4 Hàm ý chính sách và quản trị</w:t>
      </w:r>
    </w:p>
    <w:bookmarkStart w:id="63" w:name="X9a1ed066b09cdcf5fe6c1375fffc11bc87ba428"/>
    <w:p>
      <w:pPr>
        <w:pStyle w:val="Heading3"/>
      </w:pPr>
      <w:r>
        <w:t xml:space="preserve">5.4.1 Hàm ý cho nhà hoạch định chính sách — Nâng cao TCI và cải thiện thể chế</w:t>
      </w:r>
    </w:p>
    <w:p>
      <w:pPr>
        <w:pStyle w:val="FirstParagraph"/>
      </w:pPr>
      <w:r>
        <w:t xml:space="preserve">Kết quả về TCI có hàm ý chính sách rõ ràng:</w:t>
      </w:r>
      <w:r>
        <w:t xml:space="preserve"> </w:t>
      </w:r>
      <w:r>
        <w:rPr>
          <w:bCs/>
          <w:b/>
        </w:rPr>
        <w:t xml:space="preserve">đầu tư vào năng lực công nghệ của doanh nghiệp</w:t>
      </w:r>
      <w:r>
        <w:t xml:space="preserve"> </w:t>
      </w:r>
      <w:r>
        <w:t xml:space="preserve">là can thiệp chính sách có thể nâng cao lợi ích từ quốc tế hóa, đặc biệt trong các bối cảnh ICRV trung bình như Việt Nam và Trung Quốc. Chính sách hỗ trợ doanh nghiệp tiếp cận công nghệ nước ngoài (thông qua chương trình kết nối với MNCs, giảm thuế nhập khẩu công nghệ), khuyến khích R&amp;D, và hỗ trợ chứng nhận chất lượng quốc tế sẽ nâng cao TCI của toàn bộ doanh nghiệp trong nền kinh tế — từ đó dịch chuyển đường I→P lên trên và có thể mở rộng turning point về phía phải.</w:t>
      </w:r>
    </w:p>
    <w:p>
      <w:pPr>
        <w:pStyle w:val="BodyText"/>
      </w:pPr>
      <w:r>
        <w:t xml:space="preserve">Gradient ICRV gợi ý rằng</w:t>
      </w:r>
      <w:r>
        <w:t xml:space="preserve"> </w:t>
      </w:r>
      <w:r>
        <w:rPr>
          <w:bCs/>
          <w:b/>
        </w:rPr>
        <w:t xml:space="preserve">cải thiện chất lượng thể chế</w:t>
      </w:r>
      <w:r>
        <w:t xml:space="preserve"> </w:t>
      </w:r>
      <w:r>
        <w:t xml:space="preserve">(pháp quyền, bảo vệ quyền sở hữu trí tuệ, giảm chi phí tuân thủ thương mại) là can thiệp dài hạn quan trọng nhất. Doanh nghiệp trong nền kinh tế thể chế tốt hơn có thể quốc tế hóa đến mức độ cao hơn trước khi chi phí vượt qua lợi ích — điều này có nghĩa là cải cách thể chế không chỉ có lợi về mặt kinh doanh nội địa mà còn mở rộng không gian lợi ích từ xuất khẩu.</w:t>
      </w:r>
    </w:p>
    <w:p>
      <w:pPr>
        <w:pStyle w:val="BodyText"/>
      </w:pPr>
      <w:r>
        <w:t xml:space="preserve">Đối với Việt Nam cụ thể: turning point dịch chuyển từ 46,2% (2009) xuống 39,3% (2015) là tín hiệu đáng lo ngại. Nếu turning point tiếp tục dịch trái, điều đó hàm ý rằng lợi ích từ xuất khẩu đạt đỉnh sớm hơn và suy giảm nhanh hơn — có thể do cấu trúc xuất khẩu tập trung vào gia công với biên lợi nhuận mỏng. Chính sách nâng cao giá trị gia tăng trong xuất khẩu (moving up the value chain) kết hợp với tăng cường TCI có thể giúp đảo ngược xu hướng này.</w:t>
      </w:r>
    </w:p>
    <w:bookmarkEnd w:id="63"/>
    <w:bookmarkStart w:id="64" w:name="X3f8d9a323ba27def2403a7e7f4c133f4419909e"/>
    <w:p>
      <w:pPr>
        <w:pStyle w:val="Heading3"/>
      </w:pPr>
      <w:r>
        <w:t xml:space="preserve">5.4.2 Hàm ý cho nhà quản trị doanh nghiệp — Turning Point theo ICRV</w:t>
      </w:r>
    </w:p>
    <w:p>
      <w:pPr>
        <w:pStyle w:val="FirstParagraph"/>
      </w:pPr>
      <w:r>
        <w:t xml:space="preserve">Kết quả thực nghiệm cung cấp</w:t>
      </w:r>
      <w:r>
        <w:t xml:space="preserve"> </w:t>
      </w:r>
      <w:r>
        <w:rPr>
          <w:bCs/>
          <w:b/>
        </w:rPr>
        <w:t xml:space="preserve">hướng dẫn thực tế</w:t>
      </w:r>
      <w:r>
        <w:t xml:space="preserve"> </w:t>
      </w:r>
      <w:r>
        <w:t xml:space="preserve">cho nhà quản trị về mức độ quốc tế hóa tối ưu theo bối cảnh:</w:t>
      </w:r>
    </w:p>
    <w:p>
      <w:pPr>
        <w:numPr>
          <w:ilvl w:val="0"/>
          <w:numId w:val="1005"/>
        </w:numPr>
      </w:pPr>
      <w:r>
        <w:rPr>
          <w:bCs/>
          <w:b/>
        </w:rPr>
        <w:t xml:space="preserve">Doanh nghiệp Singapore (Nhóm I)</w:t>
      </w:r>
      <w:r>
        <w:t xml:space="preserve">: turning point TP ≈ 82% cho thấy không gian quốc tế hóa rất rộng. Chiến lược mở rộng quốc tế mạnh mẽ (high-commitment internationalization) phù hợp với bối cảnh này, đặc biệt khi kết hợp với DAI cao.</w:t>
      </w:r>
    </w:p>
    <w:p>
      <w:pPr>
        <w:numPr>
          <w:ilvl w:val="0"/>
          <w:numId w:val="1005"/>
        </w:numPr>
      </w:pPr>
      <w:r>
        <w:rPr>
          <w:bCs/>
          <w:b/>
        </w:rPr>
        <w:t xml:space="preserve">Doanh nghiệp Trung Quốc (Nhóm III)</w:t>
      </w:r>
      <w:r>
        <w:t xml:space="preserve">: turning point TP ≈ 48,78% ổn định qua thập kỷ 2012–2024, gợi ý rằng chiến lược xuất khẩu tối ưu là duy trì tỷ lệ FSTS trong khoảng 40–50% — kết hợp giữa thị trường nội địa khổng lồ và hoạt động xuất khẩu có chọn lọc.</w:t>
      </w:r>
    </w:p>
    <w:p>
      <w:pPr>
        <w:numPr>
          <w:ilvl w:val="0"/>
          <w:numId w:val="1005"/>
        </w:numPr>
      </w:pPr>
      <w:r>
        <w:rPr>
          <w:bCs/>
          <w:b/>
        </w:rPr>
        <w:t xml:space="preserve">Doanh nghiệp Việt Nam (Nhóm IV)</w:t>
      </w:r>
      <w:r>
        <w:t xml:space="preserve">: turning point thấp hơn (39,3–46,2%), hàm ý rằng nhà quản trị cần thận trọng hơn khi đẩy tỷ lệ xuất khẩu vượt quá 40% tổng doanh thu. Thay vào đó,</w:t>
      </w:r>
      <w:r>
        <w:t xml:space="preserve"> </w:t>
      </w:r>
      <w:r>
        <w:rPr>
          <w:bCs/>
          <w:b/>
        </w:rPr>
        <w:t xml:space="preserve">nâng cao TCI</w:t>
      </w:r>
      <w:r>
        <w:t xml:space="preserve"> </w:t>
      </w:r>
      <w:r>
        <w:t xml:space="preserve">trước khi mở rộng quốc tế sẽ hiệu quả hơn là tăng FSTS thuần túy.</w:t>
      </w:r>
    </w:p>
    <w:p>
      <w:pPr>
        <w:numPr>
          <w:ilvl w:val="0"/>
          <w:numId w:val="1005"/>
        </w:numPr>
      </w:pPr>
      <w:r>
        <w:rPr>
          <w:bCs/>
          <w:b/>
        </w:rPr>
        <w:t xml:space="preserve">Doanh nghiệp SIDS (Nhóm VI)</w:t>
      </w:r>
      <w:r>
        <w:t xml:space="preserve">: kết quả FIP là cảnh báo nghiêm túc — đẩy mạnh xuất khẩu trong bối cảnh thiếu năng lực và hỗ trợ thể chế không cải thiện mà còn có thể làm xấu đi hiệu quả hoạt động. Doanh nghiệp SIDS nên ưu tiên xây dựng năng lực nội địa và nâng cao TCI trước khi mở rộng xuất khẩu đáng kể.</w:t>
      </w:r>
    </w:p>
    <w:bookmarkEnd w:id="64"/>
    <w:bookmarkStart w:id="65" w:name="X61b8a223e6da69b21ec881e9692972717b30064"/>
    <w:p>
      <w:pPr>
        <w:pStyle w:val="Heading3"/>
      </w:pPr>
      <w:r>
        <w:t xml:space="preserve">5.4.3 Hàm ý đặc biệt cho SIDS — Tránh Bẫy Quốc Tế Hóa Bắt Buộc</w:t>
      </w:r>
    </w:p>
    <w:p>
      <w:pPr>
        <w:pStyle w:val="FirstParagraph"/>
      </w:pPr>
      <w:r>
        <w:t xml:space="preserve">Phát hiện FIP tại chín quốc gia SIDS Thái Bình Dương có hàm ý chính sách cụ thể và cấp bách. Hiện tại, nhiều chương trình phát triển quốc tế và viện trợ thương mại cho SIDS tập trung vào khuyến khích xuất khẩu như một chiến lược tăng trưởng. Kết quả FIP đặt câu hỏi về hiệu quả của chiến lược này khi thiếu nền tảng năng lực tương ứng.</w:t>
      </w:r>
    </w:p>
    <w:p>
      <w:pPr>
        <w:pStyle w:val="BodyText"/>
      </w:pPr>
      <w:r>
        <w:t xml:space="preserve">Thay vào đó, hàm ý chính sách là:</w:t>
      </w:r>
      <w:r>
        <w:t xml:space="preserve"> </w:t>
      </w:r>
      <w:r>
        <w:rPr>
          <w:bCs/>
          <w:b/>
        </w:rPr>
        <w:t xml:space="preserve">không phải xuất khẩu nhiều hơn, mà phải xuất khẩu tốt hơn</w:t>
      </w:r>
      <w:r>
        <w:t xml:space="preserve">. Cụ thể, ưu tiên nên là: (i) xây dựng hạ tầng logistics và kết nối (giảm chi phí cố định của xuất khẩu); (ii) phát triển năng lực doanh nghiệp thông qua TCI (chứ không chỉ DAI bề mặt); (iii) thiết kế chương trình hỗ trợ xuất khẩu có chọn lọc tập trung vào doanh nghiệp đã có đủ năng lực để hưởng lợi, thay vì khuyến khích đại trà. Nói tóm lại, tránh "bẫy quốc tế hóa bắt buộc" bằng cách đảm bảo rằng các can thiệp chính sách xây dựng năng lực trước khi thúc đẩy mở rộng thị trường.</w:t>
      </w:r>
    </w:p>
    <w:p>
      <w:r>
        <w:pict>
          <v:rect style="width:0;height:1.5pt" o:hralign="center" o:hrstd="t" o:hr="t"/>
        </w:pict>
      </w:r>
    </w:p>
    <w:bookmarkEnd w:id="65"/>
    <w:bookmarkEnd w:id="66"/>
    <w:bookmarkStart w:id="71" w:name="Xf80a1234b44a7d4089382a2631c25010c604edb"/>
    <w:p>
      <w:pPr>
        <w:pStyle w:val="Heading2"/>
      </w:pPr>
      <w:r>
        <w:t xml:space="preserve">5.5 Hạn chế và hướng nghiên cứu tương lai</w:t>
      </w:r>
    </w:p>
    <w:bookmarkStart w:id="67" w:name="Xfc21172891b143a859fa6a4cd4308b059abf57d"/>
    <w:p>
      <w:pPr>
        <w:pStyle w:val="Heading3"/>
      </w:pPr>
      <w:r>
        <w:t xml:space="preserve">5.5.1 Hạn chế về đo lường DAI</w:t>
      </w:r>
    </w:p>
    <w:p>
      <w:pPr>
        <w:pStyle w:val="FirstParagraph"/>
      </w:pPr>
      <w:r>
        <w:t xml:space="preserve">Hạn chế quan trọng nhất của luận án liên quan đến đo lường DAI. Dữ liệu WBES chỉ cung cấp số lượng item hạn chế để xây dựng chỉ số DAI — và các item này thay đổi qua các thế hệ schema WBES (PICS3, Standardized, BREADY/BEE). Tại Việt Nam (P3), chỉ Tier-1 DAI (website, email, online sales) được sử dụng do hạn chế của các làn sóng 2009 và 2015, trong khi Tier-2 (e-payment, e-supplier) chỉ có từ 2023. Điều này tạo ra khả năng đo lường không đầy đủ, đặc biệt là không nắm bắt được chiều sâu năng lực số ở bối cảnh ICRV thấp.</w:t>
      </w:r>
    </w:p>
    <w:p>
      <w:pPr>
        <w:pStyle w:val="BodyText"/>
      </w:pPr>
      <w:r>
        <w:t xml:space="preserve">Quan trọng hơn, tất cả các đo lường DAI đều là</w:t>
      </w:r>
      <w:r>
        <w:t xml:space="preserve"> </w:t>
      </w:r>
      <w:r>
        <w:rPr>
          <w:bCs/>
          <w:b/>
        </w:rPr>
        <w:t xml:space="preserve">static</w:t>
      </w:r>
      <w:r>
        <w:t xml:space="preserve"> </w:t>
      </w:r>
      <w:r>
        <w:t xml:space="preserve">(tại một thời điểm khảo sát), không thể nắm bắt tính "dynamic" của việc cập nhật và tái cấu hình năng lực số theo thời gian. Điều này có nghĩa là các phát hiện về DAI trong luận án phản ánh mức độ chấp nhận số tại một thời điểm chứ không phải năng lực số năng động theo nghĩa của dynamic capabilities theory (Teece et al., 1997).</w:t>
      </w:r>
    </w:p>
    <w:bookmarkEnd w:id="67"/>
    <w:bookmarkStart w:id="68" w:name="X87e10c044c34a8346bd2a0229fbb014435526bd"/>
    <w:p>
      <w:pPr>
        <w:pStyle w:val="Heading3"/>
      </w:pPr>
      <w:r>
        <w:t xml:space="preserve">5.5.2 Hạn chế về selection bias trong exporters subsamples</w:t>
      </w:r>
    </w:p>
    <w:p>
      <w:pPr>
        <w:pStyle w:val="FirstParagraph"/>
      </w:pPr>
      <w:r>
        <w:t xml:space="preserve">Các phân tích sử dụng mẫu chỉ gồm doanh nghiệp xuất khẩu (ví dụ: Singapore N = 237, SIDS exporters-only N = 187) đối mặt với rủi ro selection bias nghiêm trọng: doanh nghiệp xuất khẩu không phải là mẫu ngẫu nhiên từ tổng thể doanh nghiệp mà có khả năng là các doanh nghiệp đã có một số lợi thế ban đầu (productivity, resources, connections). Kết quả từ exporters-only không thể tổng quát hóa trực tiếp cho toàn bộ doanh nghiệp, và có thể understate hoặc overstate các hiệu ứng tùy thuộc vào phương hướng của selection.</w:t>
      </w:r>
    </w:p>
    <w:p>
      <w:pPr>
        <w:pStyle w:val="BodyText"/>
      </w:pPr>
      <w:r>
        <w:t xml:space="preserve">Phân tích Heckman two-step (hoặc treatment effects models) trong các nghiên cứu tương lai có thể khắc phục phần nào hạn chế này bằng cách mô hình hóa quá trình lựa chọn tham gia xuất khẩu như giai đoạn thứ nhất trước khi ước lượng hiệu quả trong giai đoạn thứ hai.</w:t>
      </w:r>
    </w:p>
    <w:bookmarkEnd w:id="68"/>
    <w:bookmarkStart w:id="69" w:name="X959560e89fb19d54629474460c75a36ce5e6d02"/>
    <w:p>
      <w:pPr>
        <w:pStyle w:val="Heading3"/>
      </w:pPr>
      <w:r>
        <w:t xml:space="preserve">5.5.3 Hạn chế về nhân quả</w:t>
      </w:r>
    </w:p>
    <w:p>
      <w:pPr>
        <w:pStyle w:val="FirstParagraph"/>
      </w:pPr>
      <w:r>
        <w:t xml:space="preserve">Thiết kế cross-sectional (hoặc pooled panel nhưng với WBES không phải là panel thực sự cho cùng doanh nghiệp qua thời gian) giới hạn khả năng suy luận nhân quả. Quan hệ I→P có thể bị ảnh hưởng bởi reverse causality: doanh nghiệp hiệu quả hơn có thể có nhiều nguồn lực để quốc tế hóa hơn, tạo ra chiều nhân quả ngược lại. Country fixed effects và year fixed effects giúp kiểm soát một phần, nhưng không giải quyết hoàn toàn vấn đề endogeneity.</w:t>
      </w:r>
    </w:p>
    <w:bookmarkEnd w:id="69"/>
    <w:bookmarkStart w:id="70" w:name="Xbd928791aa65151cf467be0328d1674d176e909"/>
    <w:p>
      <w:pPr>
        <w:pStyle w:val="Heading3"/>
      </w:pPr>
      <w:r>
        <w:t xml:space="preserve">5.5.4 Hướng nghiên cứu tương lai</w:t>
      </w:r>
    </w:p>
    <w:p>
      <w:pPr>
        <w:pStyle w:val="FirstParagraph"/>
      </w:pPr>
      <w:r>
        <w:t xml:space="preserve">Dựa trên các hạn chế trên, luận án đề xuất bốn hướng nghiên cứu ưu tiên:</w:t>
      </w:r>
    </w:p>
    <w:p>
      <w:pPr>
        <w:pStyle w:val="BodyText"/>
      </w:pPr>
      <w:r>
        <w:rPr>
          <w:bCs/>
          <w:b/>
        </w:rPr>
        <w:t xml:space="preserve">Thứ nhất</w:t>
      </w:r>
      <w:r>
        <w:t xml:space="preserve">, xây dựng đo lường DAI phong phú hơn (Tier-2 và Tier-3) trên dữ liệu WBES mới nhất (2023–2026) và các nguồn dữ liệu bổ sung (ITU Digital Development Index, OECD Digital Economy Outlook) để kiểm định lại vai trò DAI trong các bối cảnh ICRV thấp hơn.</w:t>
      </w:r>
    </w:p>
    <w:p>
      <w:pPr>
        <w:pStyle w:val="BodyText"/>
      </w:pPr>
      <w:r>
        <w:rPr>
          <w:bCs/>
          <w:b/>
        </w:rPr>
        <w:t xml:space="preserve">Thứ hai</w:t>
      </w:r>
      <w:r>
        <w:t xml:space="preserve">, sử dụng phương pháp nhận dạng nhân quả (causal identification): instrumental variables (ví dụ: sử dụng các cải cách thương mại ngoại sinh như FTA ký kết), difference-in-differences, hoặc regression discontinuity design để ước lượng hiệu ứng nhân quả của quốc tế hóa lên hiệu quả.</w:t>
      </w:r>
    </w:p>
    <w:p>
      <w:pPr>
        <w:pStyle w:val="BodyText"/>
      </w:pPr>
      <w:r>
        <w:rPr>
          <w:bCs/>
          <w:b/>
        </w:rPr>
        <w:t xml:space="preserve">Thứ ba</w:t>
      </w:r>
      <w:r>
        <w:t xml:space="preserve">, mở rộng phân tích FIP tại SIDS với các công cụ đo lường và dữ liệu panel thực sự (theo dõi cùng doanh nghiệp qua nhiều năm) để kiểm định liệu FIP là trạng thái cấu trúc dài hạn hay chỉ là giai đoạn tạm thời khi doanh nghiệp SIDS mới bắt đầu xuất khẩu.</w:t>
      </w:r>
    </w:p>
    <w:p>
      <w:pPr>
        <w:pStyle w:val="BodyText"/>
      </w:pPr>
      <w:r>
        <w:rPr>
          <w:bCs/>
          <w:b/>
        </w:rPr>
        <w:t xml:space="preserve">Thứ tư</w:t>
      </w:r>
      <w:r>
        <w:t xml:space="preserve">, kiểm định vai trò của top manager characteristics (H4 — kinh nghiệm, giới tính) trong từng bối cảnh ICRV riêng biệt, đặc biệt trong bối cảnh Frontier và SIDS nơi tầng năng lực và thể chế yếu hơn — liệu đặc điểm nhà quản trị có thể bù đắp một phần cho những thiếu hụt đó không?</w:t>
      </w:r>
    </w:p>
    <w:p>
      <w:r>
        <w:pict>
          <v:rect style="width:0;height:1.5pt" o:hralign="center" o:hrstd="t" o:hr="t"/>
        </w:pict>
      </w:r>
    </w:p>
    <w:bookmarkEnd w:id="70"/>
    <w:bookmarkEnd w:id="71"/>
    <w:bookmarkStart w:id="76" w:name="X4996a41f63b55247ad67839d7d35b5e27cb34b2"/>
    <w:p>
      <w:pPr>
        <w:pStyle w:val="Heading2"/>
      </w:pPr>
      <w:r>
        <w:t xml:space="preserve">5.6 Kết luận chương và luận án</w:t>
      </w:r>
    </w:p>
    <w:bookmarkStart w:id="72" w:name="X908ec0d26c8b6e22d0478e29897c5c86bef9e95"/>
    <w:p>
      <w:pPr>
        <w:pStyle w:val="Heading3"/>
      </w:pPr>
      <w:r>
        <w:t xml:space="preserve">5.6.1 Tổng kết tám nghiên cứu</w:t>
      </w:r>
    </w:p>
    <w:p>
      <w:pPr>
        <w:pStyle w:val="FirstParagraph"/>
      </w:pPr>
      <w:r>
        <w:t xml:space="preserve">Luận án này được xây dựng trên tám nghiên cứu bổ sung cho nhau, kết hợp bằng chứng từ meta-analysis và phân tích thực nghiệm sơ cấp:</w:t>
      </w:r>
    </w:p>
    <w:p>
      <w:pPr>
        <w:numPr>
          <w:ilvl w:val="0"/>
          <w:numId w:val="1006"/>
        </w:numPr>
      </w:pPr>
      <w:r>
        <w:rPr>
          <w:bCs/>
          <w:b/>
        </w:rPr>
        <w:t xml:space="preserve">P1 và P2</w:t>
      </w:r>
      <w:r>
        <w:t xml:space="preserve"> </w:t>
      </w:r>
      <w:r>
        <w:t xml:space="preserve">(đã công bố — ICBEF 2024, Đỗ &amp; Phan, 2024): thiết lập baseline meta-analytic với</w:t>
      </w:r>
      <w:r>
        <w:t xml:space="preserve"> </w:t>
      </w:r>
      <m:oMath>
        <m:r>
          <m:t>k</m:t>
        </m:r>
        <m:r>
          <m:rPr>
            <m:sty m:val="p"/>
          </m:rPr>
          <m:t>=</m:t>
        </m:r>
        <m:r>
          <m:t>113</m:t>
        </m:r>
      </m:oMath>
      <w:r>
        <w:t xml:space="preserve">,</w:t>
      </w:r>
      <w:r>
        <w:t xml:space="preserve"> </w:t>
      </w:r>
      <m:oMath>
        <m:r>
          <m:t>r</m:t>
        </m:r>
        <m:r>
          <m:rPr>
            <m:sty m:val="p"/>
          </m:rPr>
          <m:t>=</m:t>
        </m:r>
        <m:r>
          <m:t>0</m:t>
        </m:r>
        <m:r>
          <m:rPr>
            <m:sty m:val="p"/>
          </m:rPr>
          <m:t>,</m:t>
        </m:r>
        <m:r>
          <m:t>07</m:t>
        </m:r>
      </m:oMath>
      <w:r>
        <w:t xml:space="preserve">, xác nhận tác động dương nhỏ nhưng có ý nghĩa, và đặt nền cho khung CDCM.</w:t>
      </w:r>
    </w:p>
    <w:p>
      <w:pPr>
        <w:numPr>
          <w:ilvl w:val="0"/>
          <w:numId w:val="1006"/>
        </w:numPr>
      </w:pPr>
      <w:r>
        <w:rPr>
          <w:bCs/>
          <w:b/>
        </w:rPr>
        <w:t xml:space="preserve">P3</w:t>
      </w:r>
      <w:r>
        <w:t xml:space="preserve"> </w:t>
      </w:r>
      <w:r>
        <w:t xml:space="preserve">(JABS under review, Đỗ &amp; Phan, 2026): phân tích Việt Nam (Lower-mid Transition), xác nhận inverted-U với TP = 39,3–46,2%, TCI là moderator dương có ý nghĩa.</w:t>
      </w:r>
    </w:p>
    <w:p>
      <w:pPr>
        <w:numPr>
          <w:ilvl w:val="0"/>
          <w:numId w:val="1006"/>
        </w:numPr>
      </w:pPr>
      <w:r>
        <w:rPr>
          <w:bCs/>
          <w:b/>
        </w:rPr>
        <w:t xml:space="preserve">P4</w:t>
      </w:r>
      <w:r>
        <w:t xml:space="preserve"> </w:t>
      </w:r>
      <w:r>
        <w:t xml:space="preserve">(MIR under review, Đỗ &amp; Phan, 2026): phân tích Singapore (Advanced Innovation), xác nhận inverted-U với TP ≈ 82% (rộng CI), DAI khuếch đại tại mức FSTS cao.</w:t>
      </w:r>
    </w:p>
    <w:p>
      <w:pPr>
        <w:numPr>
          <w:ilvl w:val="0"/>
          <w:numId w:val="1006"/>
        </w:numPr>
      </w:pPr>
      <w:r>
        <w:rPr>
          <w:bCs/>
          <w:b/>
        </w:rPr>
        <w:t xml:space="preserve">P5</w:t>
      </w:r>
      <w:r>
        <w:t xml:space="preserve"> </w:t>
      </w:r>
      <w:r>
        <w:t xml:space="preserve">(IJOEM under review, Đỗ &amp; Phan, 2026): phân tích Trung Quốc 2012–2024 (Upper-middle), xác nhận inverted-U ổn định theo thời gian (TP ≈ 48,78%, Paternoster</w:t>
      </w:r>
      <w:r>
        <w:t xml:space="preserve"> </w:t>
      </w:r>
      <m:oMath>
        <m:r>
          <m:t>z</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w:t>
      </w:r>
    </w:p>
    <w:p>
      <w:pPr>
        <w:numPr>
          <w:ilvl w:val="0"/>
          <w:numId w:val="1006"/>
        </w:numPr>
      </w:pPr>
      <w:r>
        <w:rPr>
          <w:bCs/>
          <w:b/>
        </w:rPr>
        <w:t xml:space="preserve">P6</w:t>
      </w:r>
      <w:r>
        <w:t xml:space="preserve"> </w:t>
      </w:r>
      <w:r>
        <w:t xml:space="preserve">(IBR under review, Đỗ &amp; Phan, 2026): meta-analysis ba tầng mở rộng</w:t>
      </w:r>
      <w:r>
        <w:t xml:space="preserve"> </w:t>
      </w:r>
      <m:oMath>
        <m:r>
          <m:t>k</m:t>
        </m:r>
        <m:r>
          <m:rPr>
            <m:sty m:val="p"/>
          </m:rPr>
          <m:t>=</m:t>
        </m:r>
        <m:r>
          <m:t>238</m:t>
        </m:r>
      </m:oMath>
      <w:r>
        <w:t xml:space="preserve">,</w:t>
      </w:r>
      <w:r>
        <w:t xml:space="preserve"> </w:t>
      </w:r>
      <m:oMath>
        <m:r>
          <m:t>r</m:t>
        </m:r>
        <m:r>
          <m:rPr>
            <m:sty m:val="p"/>
          </m:rPr>
          <m:t>=</m:t>
        </m:r>
        <m:r>
          <m:t>0</m:t>
        </m:r>
        <m:r>
          <m:rPr>
            <m:sty m:val="p"/>
          </m:rPr>
          <m:t>,</m:t>
        </m:r>
        <m:r>
          <m:t>074</m:t>
        </m:r>
      </m:oMath>
      <w:r>
        <w:t xml:space="preserve">,</w:t>
      </w:r>
      <w:r>
        <w:t xml:space="preserve"> </w:t>
      </w:r>
      <m:oMath>
        <m:sSup>
          <m:e>
            <m:r>
              <m:t>I</m:t>
            </m:r>
          </m:e>
          <m:sup>
            <m:r>
              <m:t>2</m:t>
            </m:r>
          </m:sup>
        </m:sSup>
        <m:r>
          <m:rPr>
            <m:sty m:val="p"/>
          </m:rPr>
          <m:t>=</m:t>
        </m:r>
        <m:r>
          <m:t>62</m:t>
        </m:r>
        <m:r>
          <m:rPr>
            <m:sty m:val="p"/>
          </m:rPr>
          <m:t>,</m:t>
        </m:r>
        <m:r>
          <m:t>4</m:t>
        </m:r>
        <m:r>
          <m:rPr>
            <m:sty m:val="p"/>
          </m:rPr>
          <m:t>%</m:t>
        </m:r>
      </m:oMath>
      <w:r>
        <w:t xml:space="preserve"> </w:t>
      </w:r>
      <w:r>
        <w:t xml:space="preserve">(54,1% tầng 2 + 8,4% tầng 3), ICRV moderation</w:t>
      </w:r>
      <w:r>
        <w:t xml:space="preserve"> </w:t>
      </w:r>
      <m:oMath>
        <m:sSub>
          <m:e>
            <m:r>
              <m:t>Q</m:t>
            </m:r>
          </m:e>
          <m:sub>
            <m:r>
              <m:t>M</m:t>
            </m:r>
          </m:sub>
        </m:sSub>
        <m:r>
          <m:rPr>
            <m:sty m:val="p"/>
          </m:rPr>
          <m:t>=</m:t>
        </m:r>
        <m:r>
          <m:t>17</m:t>
        </m:r>
        <m:r>
          <m:rPr>
            <m:sty m:val="p"/>
          </m:rPr>
          <m:t>,</m:t>
        </m:r>
        <m:sSup>
          <m:e>
            <m:r>
              <m:t>35</m:t>
            </m:r>
          </m:e>
          <m:sup>
            <m:r>
              <m:rPr>
                <m:sty m:val="p"/>
              </m:rPr>
              <m:t>*</m:t>
            </m:r>
            <m:r>
              <m:rPr>
                <m:sty m:val="p"/>
              </m:rPr>
              <m:t>*</m:t>
            </m:r>
          </m:sup>
        </m:sSup>
      </m:oMath>
      <w:r>
        <w:t xml:space="preserve"> </w:t>
      </w:r>
      <w:r>
        <w:t xml:space="preserve">(</w:t>
      </w:r>
      <m:oMath>
        <m:r>
          <m:t>d</m:t>
        </m:r>
        <m:r>
          <m:t>f</m:t>
        </m:r>
        <m:r>
          <m:rPr>
            <m:sty m:val="p"/>
          </m:rPr>
          <m:t>=</m:t>
        </m:r>
        <m:r>
          <m:t>4</m:t>
        </m:r>
      </m:oMath>
      <w:r>
        <w:t xml:space="preserve">,</w:t>
      </w:r>
      <w:r>
        <w:t xml:space="preserve"> </w:t>
      </w:r>
      <m:oMath>
        <m:r>
          <m:t>p</m:t>
        </m:r>
        <m:r>
          <m:rPr>
            <m:sty m:val="p"/>
          </m:rPr>
          <m:t>=</m:t>
        </m:r>
        <m:r>
          <m:rPr>
            <m:sty m:val="p"/>
          </m:rPr>
          <m:t>,</m:t>
        </m:r>
        <m:r>
          <m:t>002</m:t>
        </m:r>
      </m:oMath>
      <w:r>
        <w:t xml:space="preserve">).</w:t>
      </w:r>
    </w:p>
    <w:p>
      <w:pPr>
        <w:numPr>
          <w:ilvl w:val="0"/>
          <w:numId w:val="1006"/>
        </w:numPr>
      </w:pPr>
      <w:r>
        <w:rPr>
          <w:bCs/>
          <w:b/>
        </w:rPr>
        <w:t xml:space="preserve">P7</w:t>
      </w:r>
      <w:r>
        <w:t xml:space="preserve"> </w:t>
      </w:r>
      <w:r>
        <w:t xml:space="preserve">(JIBS under revision, Đỗ &amp; Phan, 2026): kiểm định toàn mẫu châu Á và Thái Bình Dương</w:t>
      </w:r>
      <w:r>
        <w:t xml:space="preserve"> </w:t>
      </w:r>
      <m:oMath>
        <m:r>
          <m:t>N</m:t>
        </m:r>
        <m:r>
          <m:rPr>
            <m:sty m:val="p"/>
          </m:rPr>
          <m:t>=</m:t>
        </m:r>
        <m:r>
          <m:t>84.910</m:t>
        </m:r>
      </m:oMath>
      <w:r>
        <w:t xml:space="preserve"> </w:t>
      </w:r>
      <w:r>
        <w:t xml:space="preserve">(M2) /</w:t>
      </w:r>
      <w:r>
        <w:t xml:space="preserve"> </w:t>
      </w:r>
      <m:oMath>
        <m:r>
          <m:t>38.342</m:t>
        </m:r>
      </m:oMath>
      <w:r>
        <w:t xml:space="preserve"> </w:t>
      </w:r>
      <w:r>
        <w:t xml:space="preserve">(M3–M5 với controls), TP = 36,4–40,0% (M11 đầy đủ: TP = 34,6%,</w:t>
      </w:r>
      <w:r>
        <w:t xml:space="preserve"> </w:t>
      </w:r>
      <m:oMath>
        <m:sSub>
          <m:e>
            <m:r>
              <m:t>p</m:t>
            </m:r>
          </m:e>
          <m:sub>
            <m:r>
              <m:rPr>
                <m:nor/>
                <m:sty m:val="p"/>
              </m:rPr>
              <m:t>LM</m:t>
            </m:r>
          </m:sub>
        </m:sSub>
        <m:r>
          <m:rPr>
            <m:sty m:val="p"/>
          </m:rPr>
          <m:t>=</m:t>
        </m:r>
        <m:r>
          <m:rPr>
            <m:sty m:val="p"/>
          </m:rPr>
          <m:t>,</m:t>
        </m:r>
        <m:r>
          <m:t>002</m:t>
        </m:r>
      </m:oMath>
      <w:r>
        <w:t xml:space="preserve">), gradient ICRV xác nhận (Advanced ~28% &lt; Frontier/SIDS ~55%), TCI nâng mặt bằng phổ quát (+41%/SD), DAI điều tiết đường cong có ý nghĩa toàn mẫu và mạnh hơn tại thể chế yếu (DAI×ICRV</w:t>
      </w:r>
      <w:r>
        <w:t xml:space="preserve"> </w:t>
      </w:r>
      <m:oMath>
        <m:r>
          <m:t>p</m:t>
        </m:r>
        <m:r>
          <m:rPr>
            <m:sty m:val="p"/>
          </m:rPr>
          <m:t>=</m:t>
        </m:r>
        <m:r>
          <m:rPr>
            <m:sty m:val="p"/>
          </m:rPr>
          <m:t>,</m:t>
        </m:r>
        <m:r>
          <m:t>012</m:t>
        </m:r>
      </m:oMath>
      <w:r>
        <w:t xml:space="preserve">).</w:t>
      </w:r>
    </w:p>
    <w:p>
      <w:pPr>
        <w:numPr>
          <w:ilvl w:val="0"/>
          <w:numId w:val="1006"/>
        </w:numPr>
      </w:pPr>
      <w:r>
        <w:rPr>
          <w:bCs/>
          <w:b/>
        </w:rPr>
        <w:t xml:space="preserve">P8</w:t>
      </w:r>
      <w:r>
        <w:t xml:space="preserve"> </w:t>
      </w:r>
      <w:r>
        <w:t xml:space="preserve">(World Development under revision, Đỗ &amp; Phan, 2026): phân tích SIDS Thái Bình Dương,</w:t>
      </w:r>
      <w:r>
        <w:t xml:space="preserve"> </w:t>
      </w:r>
      <m:oMath>
        <m:r>
          <m:t>N</m:t>
        </m:r>
        <m:r>
          <m:rPr>
            <m:sty m:val="p"/>
          </m:rPr>
          <m:t>=</m:t>
        </m:r>
        <m:r>
          <m:t>1.469</m:t>
        </m:r>
      </m:oMath>
      <w:r>
        <w:t xml:space="preserve">,</w:t>
      </w:r>
      <w:r>
        <w:t xml:space="preserve"> </w:t>
      </w:r>
      <m:oMath>
        <m:r>
          <m:t>β</m:t>
        </m:r>
        <m:d>
          <m:dPr>
            <m:begChr m:val="("/>
            <m:endChr m:val=")"/>
            <m:sepChr m:val=""/>
            <m:grow/>
          </m:dPr>
          <m:e>
            <m:sSub>
              <m:e>
                <m:r>
                  <m:rPr>
                    <m:nor/>
                    <m:sty m:val="p"/>
                  </m:rPr>
                  <m:t>FSTS</m:t>
                </m:r>
              </m:e>
              <m:sub>
                <m:r>
                  <m:t>c</m:t>
                </m:r>
              </m:sub>
            </m:sSub>
          </m:e>
        </m:d>
        <m:r>
          <m:rPr>
            <m:sty m:val="p"/>
          </m:rPr>
          <m:t>=</m:t>
        </m:r>
        <m:r>
          <m:rPr>
            <m:sty m:val="p"/>
          </m:rPr>
          <m:t>−</m:t>
        </m:r>
        <m:r>
          <m:t>0</m:t>
        </m:r>
        <m:r>
          <m:rPr>
            <m:sty m:val="p"/>
          </m:rPr>
          <m:t>,</m:t>
        </m:r>
        <m:sSup>
          <m:e>
            <m:r>
              <m:t>404</m:t>
            </m:r>
          </m:e>
          <m:sup>
            <m:r>
              <m:rPr>
                <m:sty m:val="p"/>
              </m:rPr>
              <m:t>*</m:t>
            </m:r>
          </m:sup>
        </m:sSup>
      </m:oMath>
      <w:r>
        <w:t xml:space="preserve">, FIP xác nhận — quan hệ âm đơn điệu không có turning point.</w:t>
      </w:r>
    </w:p>
    <w:bookmarkEnd w:id="72"/>
    <w:bookmarkStart w:id="73" w:name="X9556672229511acc75e7a88561876b51568dedf"/>
    <w:p>
      <w:pPr>
        <w:pStyle w:val="Heading3"/>
      </w:pPr>
      <w:r>
        <w:t xml:space="preserve">5.6.2 Phát hiện trung tâm</w:t>
      </w:r>
    </w:p>
    <w:p>
      <w:pPr>
        <w:pStyle w:val="FirstParagraph"/>
      </w:pPr>
      <w:r>
        <w:t xml:space="preserve">Phát hiện trung tâm của luận án có thể được tóm tắt trong một luận điểm ngắn gọn:</w:t>
      </w:r>
    </w:p>
    <w:p>
      <w:pPr>
        <w:pStyle w:val="BlockText"/>
      </w:pPr>
      <w:r>
        <w:rPr>
          <w:bCs/>
          <w:b/>
        </w:rPr>
        <w:t xml:space="preserve">"Không có một mức độ quốc tế hóa tối ưu duy nhất — điểm ngưỡng phụ thuộc vào thể chế, và trong điều kiện thể chế cực yếu, quốc tế hóa có thể gây ra bất lợi hiệu quả thay vì lợi ích."</w:t>
      </w:r>
    </w:p>
    <w:p>
      <w:pPr>
        <w:pStyle w:val="FirstParagraph"/>
      </w:pPr>
      <w:r>
        <w:t xml:space="preserve">Bằng chứng từ 238 nghiên cứu (P6) và 84.910 doanh nghiệp tại 49 nền kinh tế châu Á và Thái Bình Dương (P7) đều chỉ đến kết luận này. Quan hệ I→P không phải là một đường cong phổ quát mà là một</w:t>
      </w:r>
      <w:r>
        <w:t xml:space="preserve"> </w:t>
      </w:r>
      <w:r>
        <w:rPr>
          <w:bCs/>
          <w:b/>
        </w:rPr>
        <w:t xml:space="preserve">họ đường cong phụ thuộc bối cảnh</w:t>
      </w:r>
      <w:r>
        <w:t xml:space="preserve"> </w:t>
      </w:r>
      <w:r>
        <w:t xml:space="preserve">(family of context-dependent curves), với turning point là hàm số</w:t>
      </w:r>
      <w:r>
        <w:t xml:space="preserve"> </w:t>
      </w:r>
      <w:r>
        <w:rPr>
          <w:bCs/>
          <w:b/>
        </w:rPr>
        <w:t xml:space="preserve">giảm dần</w:t>
      </w:r>
      <w:r>
        <w:t xml:space="preserve"> </w:t>
      </w:r>
      <w:r>
        <w:t xml:space="preserve">của chất lượng thể chế theo ICRV — thể chế mạnh hơn → turning point thấp hơn (FSTS thấp hơn để đạt đỉnh hiệu quả).</w:t>
      </w:r>
    </w:p>
    <w:bookmarkEnd w:id="73"/>
    <w:bookmarkStart w:id="74" w:name="X0e99b1254b4b67b0d58ad32605b3382cafdc23f"/>
    <w:p>
      <w:pPr>
        <w:pStyle w:val="Heading3"/>
      </w:pPr>
      <w:r>
        <w:t xml:space="preserve">5.6.3 Ý nghĩa đối với lý thuyết và thực tiễn</w:t>
      </w:r>
    </w:p>
    <w:p>
      <w:pPr>
        <w:pStyle w:val="FirstParagraph"/>
      </w:pPr>
      <w:r>
        <w:t xml:space="preserve">Về lý thuyết, luận án đóng góp vào ba dòng nghiên cứu: (i) meta-analytic literature về I→P bằng cách phân tách cấu trúc dị biệt và xác định ICRV như moderator có ý nghĩa; (ii) literature về digital capability bằng cách làm rõ DAI là situational resource chứ không phải foundational capability; và (iii) literature về internationalization và SIDS bằng cách đặt tên và cung cấp bằng chứng đầu tiên cho FIP.</w:t>
      </w:r>
    </w:p>
    <w:p>
      <w:pPr>
        <w:pStyle w:val="BodyText"/>
      </w:pPr>
      <w:r>
        <w:t xml:space="preserve">Về thực tiễn, luận án cung cấp cơ sở để nhà hoạch định chính sách và nhà quản trị doanh nghiệp tại từng bối cảnh ICRV cụ thể hiệu chỉnh chiến lược quốc tế hóa phù hợp — không áp dụng máy móc bài học từ Singapore hay Nhật Bản vào bối cảnh Việt Nam hay SIDS, mà nhận ra sự phụ thuộc bối cảnh như là nguyên lý căn bản trong hoạch định chiến lược quốc tế hóa.</w:t>
      </w:r>
    </w:p>
    <w:bookmarkEnd w:id="74"/>
    <w:bookmarkStart w:id="75" w:name="X419817a82cb35cfdb5a0df5261d5a194f2fd9ca"/>
    <w:p>
      <w:pPr>
        <w:pStyle w:val="Heading3"/>
      </w:pPr>
      <w:r>
        <w:t xml:space="preserve">5.6.4 Lời kết</w:t>
      </w:r>
    </w:p>
    <w:p>
      <w:pPr>
        <w:pStyle w:val="FirstParagraph"/>
      </w:pPr>
      <w:r>
        <w:t xml:space="preserve">Luận án này bắt đầu từ câu hỏi đơn giản: quốc tế hóa có cải thiện hiệu quả của doanh nghiệp không? Câu trả lời, sau tám nghiên cứu và phân tích trên hàng chục ngàn doanh nghiệp ở gần năm mươi nền kinh tế, là:</w:t>
      </w:r>
      <w:r>
        <w:t xml:space="preserve"> </w:t>
      </w:r>
      <w:r>
        <w:rPr>
          <w:bCs/>
          <w:b/>
        </w:rPr>
        <w:t xml:space="preserve">có, thường là như vậy, nhưng không phải lúc nào, và không phải ở mọi nơi</w:t>
      </w:r>
      <w:r>
        <w:t xml:space="preserve">. Giới hạn của lợi ích là có thực, phụ thuộc vào bối cảnh thể chế, và trong trường hợp SIDS, quốc tế hóa bắt buộc có thể gây ra thiệt hại. Hiểu biết này — rằng quan hệ I→P là quan hệ có điều kiện theo thể chế, không phải quan hệ phổ quát — là đóng góp cốt lõi mà luận án mang lại cho khoa học quản trị kinh doanh quốc tế.</w:t>
      </w:r>
    </w:p>
    <w:p>
      <w:r>
        <w:pict>
          <v:rect style="width:0;height:1.5pt" o:hralign="center" o:hrstd="t" o:hr="t"/>
        </w:pict>
      </w:r>
    </w:p>
    <w:bookmarkEnd w:id="75"/>
    <w:bookmarkEnd w:id="76"/>
    <w:bookmarkStart w:id="77" w:name="X9c0fa5a95aa65503927cbe8b57752b2cbfc3017"/>
    <w:p>
      <w:pPr>
        <w:pStyle w:val="Heading2"/>
      </w:pPr>
      <w:r>
        <w:t xml:space="preserve">Tài liệu tham khảo (trích dẫn trong Chương 4 và 5)</w:t>
      </w:r>
    </w:p>
    <w:p>
      <w:pPr>
        <w:pStyle w:val="FirstParagraph"/>
      </w:pPr>
      <w:r>
        <w:t xml:space="preserve">Arte, P., &amp; Larimo, J. (2022). Moderating influence of product diversification on the international diversification-performance relationship: A meta-analysis.</w:t>
      </w:r>
      <w:r>
        <w:t xml:space="preserve"> </w:t>
      </w:r>
      <w:r>
        <w:rPr>
          <w:iCs/>
          <w:i/>
        </w:rPr>
        <w:t xml:space="preserve">Journal of Business Research</w:t>
      </w:r>
      <w:r>
        <w:t xml:space="preserve">, 139, 281–295.</w:t>
      </w:r>
    </w:p>
    <w:p>
      <w:pPr>
        <w:pStyle w:val="BodyText"/>
      </w:pPr>
      <w:r>
        <w:t xml:space="preserve">Barney, J. (1991). Firm resources and sustained competitive advantage.</w:t>
      </w:r>
      <w:r>
        <w:t xml:space="preserve"> </w:t>
      </w:r>
      <w:r>
        <w:rPr>
          <w:iCs/>
          <w:i/>
        </w:rPr>
        <w:t xml:space="preserve">Journal of Management</w:t>
      </w:r>
      <w:r>
        <w:t xml:space="preserve">, 17(1), 99–120.</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w:t>
      </w:r>
      <w:r>
        <w:t xml:space="preserve">, 47(3), 319–347.</w:t>
      </w:r>
    </w:p>
    <w:p>
      <w:pPr>
        <w:pStyle w:val="BodyText"/>
      </w:pPr>
      <w:r>
        <w:t xml:space="preserve">Bhandari, K. R., Ranta, M., &amp; Salo, J. (2023). The resource-based view, stakeholder capitalism, ESG, and sustainable competitive advantage: The firm's embeddedness into ecology, society, and governance.</w:t>
      </w:r>
      <w:r>
        <w:t xml:space="preserve"> </w:t>
      </w:r>
      <w:r>
        <w:rPr>
          <w:iCs/>
          <w:i/>
        </w:rPr>
        <w:t xml:space="preserve">Journal of Cleaner Production</w:t>
      </w:r>
      <w:r>
        <w:t xml:space="preserve">, 415, 137843.</w:t>
      </w:r>
    </w:p>
    <w:p>
      <w:pPr>
        <w:pStyle w:val="BodyText"/>
      </w:pPr>
      <w:r>
        <w:t xml:space="preserve">Banalieva, E. R., &amp; Dhanaraj, C. (2019). Internalization theory for the digital economy.</w:t>
      </w:r>
      <w:r>
        <w:t xml:space="preserve"> </w:t>
      </w:r>
      <w:r>
        <w:rPr>
          <w:iCs/>
          <w:i/>
        </w:rPr>
        <w:t xml:space="preserve">Journal of International Business Studies</w:t>
      </w:r>
      <w:r>
        <w:t xml:space="preserve">, 50(8), 1372–1387.</w:t>
      </w:r>
    </w:p>
    <w:p>
      <w:pPr>
        <w:pStyle w:val="BodyText"/>
      </w:pPr>
      <w:r>
        <w:t xml:space="preserve">Borenstein, M., Hedges, L. V., Higgins, J. P. T., &amp; Rothstein, H. R. (2009).</w:t>
      </w:r>
      <w:r>
        <w:t xml:space="preserve"> </w:t>
      </w:r>
      <w:r>
        <w:rPr>
          <w:iCs/>
          <w:i/>
        </w:rPr>
        <w:t xml:space="preserve">Introduction to meta-analysis</w:t>
      </w:r>
      <w:r>
        <w:t xml:space="preserve">. John Wiley &amp; Sons.</w:t>
      </w:r>
    </w:p>
    <w:p>
      <w:pPr>
        <w:pStyle w:val="BodyText"/>
      </w:pPr>
      <w:r>
        <w:t xml:space="preserve">Bustamante, C. V., Moreno-Menéndez, A. M., &amp; Eusse, M. T. (2022). Digital capabilities and international growth of family SMEs.</w:t>
      </w:r>
      <w:r>
        <w:t xml:space="preserve"> </w:t>
      </w:r>
      <w:r>
        <w:rPr>
          <w:iCs/>
          <w:i/>
        </w:rPr>
        <w:t xml:space="preserve">International Business Review</w:t>
      </w:r>
      <w:r>
        <w:t xml:space="preserve">, 31(4), 101985.</w:t>
      </w:r>
    </w:p>
    <w:p>
      <w:pPr>
        <w:pStyle w:val="BodyText"/>
      </w:pPr>
      <w:r>
        <w:t xml:space="preserve">Chen, L., &amp; Meng, B. (2022). How digital finance affects manufacturing firms' outward FDI: Evidence from China.</w:t>
      </w:r>
      <w:r>
        <w:t xml:space="preserve"> </w:t>
      </w:r>
      <w:r>
        <w:rPr>
          <w:iCs/>
          <w:i/>
        </w:rPr>
        <w:t xml:space="preserve">Journal of International Money and Finance</w:t>
      </w:r>
      <w:r>
        <w:t xml:space="preserve">, 121, 102491.</w:t>
      </w:r>
    </w:p>
    <w:p>
      <w:pPr>
        <w:pStyle w:val="BodyText"/>
      </w:pPr>
      <w:r>
        <w:t xml:space="preserve">Cohen, W. M., &amp; Levinthal, D. A. (1990). Absorptive capacity: A new perspective on learning and innovation.</w:t>
      </w:r>
      <w:r>
        <w:t xml:space="preserve"> </w:t>
      </w:r>
      <w:r>
        <w:rPr>
          <w:iCs/>
          <w:i/>
        </w:rPr>
        <w:t xml:space="preserve">Administrative Science Quarterly</w:t>
      </w:r>
      <w:r>
        <w:t xml:space="preserve">, 35(1), 128–152.</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w:t>
      </w:r>
      <w:r>
        <w:t xml:space="preserve">, 34(1), 5–18.</w:t>
      </w:r>
    </w:p>
    <w:p>
      <w:pPr>
        <w:pStyle w:val="BodyText"/>
      </w:pPr>
      <w:r>
        <w:t xml:space="preserve">Cuervo-Cazurra, A., Luo, Y., Ramamurti, R., &amp; Ang, S. H. (2018). The impact of the home country on internationalization.</w:t>
      </w:r>
      <w:r>
        <w:t xml:space="preserve"> </w:t>
      </w:r>
      <w:r>
        <w:rPr>
          <w:iCs/>
          <w:i/>
        </w:rPr>
        <w:t xml:space="preserve">Journal of World Business</w:t>
      </w:r>
      <w:r>
        <w:t xml:space="preserve">, 53(5), 593–604.</w:t>
      </w:r>
    </w:p>
    <w:p>
      <w:pPr>
        <w:pStyle w:val="BodyText"/>
      </w:pPr>
      <w:r>
        <w:t xml:space="preserve">Đỗ, H., &amp; Phan, T. (2024).</w:t>
      </w:r>
      <w:r>
        <w:t xml:space="preserve"> </w:t>
      </w:r>
      <w:r>
        <w:rPr>
          <w:iCs/>
          <w:i/>
        </w:rPr>
        <w:t xml:space="preserve">Internationalization and firm performance in Asia: A meta-analytic baseline</w:t>
      </w:r>
      <w:r>
        <w:t xml:space="preserve">. Paper presented at the International Conference on Business, Economics and Finance (ICBEF), Can Tho University.</w:t>
      </w:r>
    </w:p>
    <w:p>
      <w:pPr>
        <w:pStyle w:val="BodyText"/>
      </w:pPr>
      <w:r>
        <w:t xml:space="preserve">Egger, M., Smith, G. D., Schneider, M., &amp; Minder, C. (1997). Bias in meta-analysis detected by a simple, graphical test.</w:t>
      </w:r>
      <w:r>
        <w:t xml:space="preserve"> </w:t>
      </w:r>
      <w:r>
        <w:rPr>
          <w:iCs/>
          <w:i/>
        </w:rPr>
        <w:t xml:space="preserve">BMJ</w:t>
      </w:r>
      <w:r>
        <w:t xml:space="preserve">, 315(7109), 629–634.</w:t>
      </w:r>
    </w:p>
    <w:p>
      <w:pPr>
        <w:pStyle w:val="BodyText"/>
      </w:pPr>
      <w:r>
        <w:t xml:space="preserve">Hambrick, D. C. (2007). Upper echelons theory: An update.</w:t>
      </w:r>
      <w:r>
        <w:t xml:space="preserve"> </w:t>
      </w:r>
      <w:r>
        <w:rPr>
          <w:iCs/>
          <w:i/>
        </w:rPr>
        <w:t xml:space="preserve">Academy of Management Review</w:t>
      </w:r>
      <w:r>
        <w:t xml:space="preserve">, 32(2), 334–343.</w:t>
      </w:r>
    </w:p>
    <w:p>
      <w:pPr>
        <w:pStyle w:val="BodyText"/>
      </w:pPr>
      <w:r>
        <w:t xml:space="preserve">Hambrick, D. C., &amp; Mason, P. A. (1984). Upper echelons: The organization as a reflection of its top managers.</w:t>
      </w:r>
      <w:r>
        <w:t xml:space="preserve"> </w:t>
      </w:r>
      <w:r>
        <w:rPr>
          <w:iCs/>
          <w:i/>
        </w:rPr>
        <w:t xml:space="preserve">Academy of Management Review</w:t>
      </w:r>
      <w:r>
        <w:t xml:space="preserve">, 9(2), 193–206.</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w:t>
      </w:r>
      <w:r>
        <w:t xml:space="preserve">, 40(4), 767–798.</w:t>
      </w:r>
    </w:p>
    <w:p>
      <w:pPr>
        <w:pStyle w:val="BodyText"/>
      </w:pPr>
      <w:r>
        <w:t xml:space="preserve">Johanson, J., &amp; Vahlne, J.-E. (1977). The internationalization process of the firm—A model of knowledge development and increasing foreign market commitments.</w:t>
      </w:r>
      <w:r>
        <w:t xml:space="preserve"> </w:t>
      </w:r>
      <w:r>
        <w:rPr>
          <w:iCs/>
          <w:i/>
        </w:rPr>
        <w:t xml:space="preserve">Journal of International Business Studies</w:t>
      </w:r>
      <w:r>
        <w:t xml:space="preserve">, 8(1), 23–32.</w:t>
      </w:r>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w:t>
      </w:r>
      <w:r>
        <w:t xml:space="preserve">, 40(9), 1411–1431.</w:t>
      </w:r>
    </w:p>
    <w:p>
      <w:pPr>
        <w:pStyle w:val="BodyText"/>
      </w:pPr>
      <w:r>
        <w:t xml:space="preserve">Kaufmann, D., Kraay, A., &amp; Mastruzzi, M. (2011). The Worldwide Governance Indicators: Methodology and analytical issues.</w:t>
      </w:r>
      <w:r>
        <w:t xml:space="preserve"> </w:t>
      </w:r>
      <w:r>
        <w:rPr>
          <w:iCs/>
          <w:i/>
        </w:rPr>
        <w:t xml:space="preserve">Hague Journal on the Rule of Law</w:t>
      </w:r>
      <w:r>
        <w:t xml:space="preserve">, 3(2), 220–246.</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w:t>
      </w:r>
      <w:r>
        <w:t xml:space="preserve">, 2(2), 108–121.</w:t>
      </w:r>
    </w:p>
    <w:p>
      <w:pPr>
        <w:pStyle w:val="BodyText"/>
      </w:pPr>
      <w:r>
        <w:t xml:space="preserve">Lall, S. (1992). Technological capabilities and industrialization.</w:t>
      </w:r>
      <w:r>
        <w:t xml:space="preserve"> </w:t>
      </w:r>
      <w:r>
        <w:rPr>
          <w:iCs/>
          <w:i/>
        </w:rPr>
        <w:t xml:space="preserve">World Development</w:t>
      </w:r>
      <w:r>
        <w:t xml:space="preserve">, 20(2), 165–186.</w:t>
      </w:r>
    </w:p>
    <w:p>
      <w:pPr>
        <w:pStyle w:val="BodyText"/>
      </w:pPr>
      <w:r>
        <w:t xml:space="preserve">Lu, J. W., &amp; Beamish, P. W. (2004). International diversification and firm performance: The S-curve hypothesis.</w:t>
      </w:r>
      <w:r>
        <w:t xml:space="preserve"> </w:t>
      </w:r>
      <w:r>
        <w:rPr>
          <w:iCs/>
          <w:i/>
        </w:rPr>
        <w:t xml:space="preserve">Academy of Management Journal</w:t>
      </w:r>
      <w:r>
        <w:t xml:space="preserve">, 47(4), 598–609.</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w:t>
      </w:r>
      <w:r>
        <w:t xml:space="preserve">, 42(5),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Page, M. J., McKenzie, J. E., Bossuyt, P. M., Boutron, I., Hoffmann, T. C., Mulrow, C. D., &amp; Moher, D. (2021). The PRISMA 2020 statement: An updated guideline for reporting systematic reviews.</w:t>
      </w:r>
      <w:r>
        <w:t xml:space="preserve"> </w:t>
      </w:r>
      <w:r>
        <w:rPr>
          <w:iCs/>
          <w:i/>
        </w:rPr>
        <w:t xml:space="preserve">BMJ</w:t>
      </w:r>
      <w:r>
        <w:t xml:space="preserve">, 372, n71.</w:t>
      </w:r>
    </w:p>
    <w:p>
      <w:pPr>
        <w:pStyle w:val="BodyText"/>
      </w:pPr>
      <w:r>
        <w:t xml:space="preserve">Peng, M. W. (2003). Institutional transitions and strategic choices.</w:t>
      </w:r>
      <w:r>
        <w:t xml:space="preserve"> </w:t>
      </w:r>
      <w:r>
        <w:rPr>
          <w:iCs/>
          <w:i/>
        </w:rPr>
        <w:t xml:space="preserve">Academy of Management Review</w:t>
      </w:r>
      <w:r>
        <w:t xml:space="preserve">, 28(2), 275–296.</w:t>
      </w:r>
    </w:p>
    <w:p>
      <w:pPr>
        <w:pStyle w:val="BodyText"/>
      </w:pPr>
      <w:r>
        <w:t xml:space="preserve">Post, C., &amp; Byron, K. (2015). Women on boards and firm financial performance: A meta-analysis.</w:t>
      </w:r>
      <w:r>
        <w:t xml:space="preserve"> </w:t>
      </w:r>
      <w:r>
        <w:rPr>
          <w:iCs/>
          <w:i/>
        </w:rPr>
        <w:t xml:space="preserve">Academy of Management Journal</w:t>
      </w:r>
      <w:r>
        <w:t xml:space="preserve">, 58(5), 1546–1571.</w:t>
      </w:r>
    </w:p>
    <w:p>
      <w:pPr>
        <w:pStyle w:val="BodyText"/>
      </w:pPr>
      <w:r>
        <w:t xml:space="preserve">Stallkamp, M., &amp; Schotter, A. P. J. (2021). Platforms without borders? The international strategies of digital platform firms.</w:t>
      </w:r>
      <w:r>
        <w:t xml:space="preserve"> </w:t>
      </w:r>
      <w:r>
        <w:rPr>
          <w:iCs/>
          <w:i/>
        </w:rPr>
        <w:t xml:space="preserve">Global Strategy Journal</w:t>
      </w:r>
      <w:r>
        <w:t xml:space="preserve">, 11(1), 58–80.</w:t>
      </w:r>
    </w:p>
    <w:p>
      <w:pPr>
        <w:pStyle w:val="BodyText"/>
      </w:pPr>
      <w:r>
        <w:t xml:space="preserve">Sullivan, D. (1994). Measuring the degree of internationalization of a firm.</w:t>
      </w:r>
      <w:r>
        <w:t xml:space="preserve"> </w:t>
      </w:r>
      <w:r>
        <w:rPr>
          <w:iCs/>
          <w:i/>
        </w:rPr>
        <w:t xml:space="preserve">Journal of International Business Studies</w:t>
      </w:r>
      <w:r>
        <w:t xml:space="preserve">, 25(2), 325–342.</w:t>
      </w:r>
    </w:p>
    <w:p>
      <w:pPr>
        <w:pStyle w:val="BodyText"/>
      </w:pPr>
      <w:r>
        <w:t xml:space="preserve">Teece, D. J. (1986). Profiting from technological innovation: Implications for integration, collaboration, licensing and public policy.</w:t>
      </w:r>
      <w:r>
        <w:t xml:space="preserve"> </w:t>
      </w:r>
      <w:r>
        <w:rPr>
          <w:iCs/>
          <w:i/>
        </w:rPr>
        <w:t xml:space="preserve">Research Policy</w:t>
      </w:r>
      <w:r>
        <w:t xml:space="preserve">, 15(6), 285–305.</w:t>
      </w:r>
    </w:p>
    <w:p>
      <w:pPr>
        <w:pStyle w:val="BodyText"/>
      </w:pPr>
      <w:r>
        <w:t xml:space="preserve">Teece, D. J., Pisano, G., &amp; Shuen, A. (1997). Dynamic capabilities and strategic management.</w:t>
      </w:r>
      <w:r>
        <w:t xml:space="preserve"> </w:t>
      </w:r>
      <w:r>
        <w:rPr>
          <w:iCs/>
          <w:i/>
        </w:rPr>
        <w:t xml:space="preserve">Strategic Management Journal</w:t>
      </w:r>
      <w:r>
        <w:t xml:space="preserve">, 18(7), 509–533.</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w:t>
      </w:r>
      <w:r>
        <w:t xml:space="preserve">, 122, 889–901.</w:t>
      </w:r>
    </w:p>
    <w:p>
      <w:pPr>
        <w:pStyle w:val="BodyText"/>
      </w:pPr>
      <w:r>
        <w:t xml:space="preserve">Wernerfelt, B. (1984). A resource-based view of the firm.</w:t>
      </w:r>
      <w:r>
        <w:t xml:space="preserve"> </w:t>
      </w:r>
      <w:r>
        <w:rPr>
          <w:iCs/>
          <w:i/>
        </w:rPr>
        <w:t xml:space="preserve">Strategic Management Journal</w:t>
      </w:r>
      <w:r>
        <w:t xml:space="preserve">, 5(2), 171–180.</w:t>
      </w:r>
    </w:p>
    <w:p>
      <w:pPr>
        <w:pStyle w:val="BodyText"/>
      </w:pPr>
      <w:r>
        <w:t xml:space="preserve">Wu, J., Xu, L., &amp; Yang, Z. (2022). Multinationality and performance of emerging economy multinational enterprises: A twenty-year study.</w:t>
      </w:r>
      <w:r>
        <w:t xml:space="preserve"> </w:t>
      </w:r>
      <w:r>
        <w:rPr>
          <w:iCs/>
          <w:i/>
        </w:rPr>
        <w:t xml:space="preserve">International Business Review</w:t>
      </w:r>
      <w:r>
        <w:t xml:space="preserve">, 31(5), 102003.</w:t>
      </w:r>
    </w:p>
    <w:p>
      <w:pPr>
        <w:pStyle w:val="BodyText"/>
      </w:pPr>
      <w:r>
        <w:t xml:space="preserve">Yang, Y., Chen, C., &amp; Yang, H. (2025). Internationalization of digital firms: Systematic review and future research agenda.</w:t>
      </w:r>
      <w:r>
        <w:t xml:space="preserve"> </w:t>
      </w:r>
      <w:r>
        <w:rPr>
          <w:iCs/>
          <w:i/>
        </w:rPr>
        <w:t xml:space="preserve">Journal of International Business Studies</w:t>
      </w:r>
      <w:r>
        <w:t xml:space="preserve">, 56(2), 301–327.</w:t>
      </w:r>
    </w:p>
    <w:p>
      <w:pPr>
        <w:pStyle w:val="BodyText"/>
      </w:pPr>
      <w:r>
        <w:t xml:space="preserve">Zaheer, S. (1995). Overcoming the liability of foreignness.</w:t>
      </w:r>
      <w:r>
        <w:t xml:space="preserve"> </w:t>
      </w:r>
      <w:r>
        <w:rPr>
          <w:iCs/>
          <w:i/>
        </w:rPr>
        <w:t xml:space="preserve">Academy of Management Journal</w:t>
      </w:r>
      <w:r>
        <w:t xml:space="preserve">, 38(2), 341–363.</w:t>
      </w:r>
    </w:p>
    <w:p>
      <w:r>
        <w:pict>
          <v:rect style="width:0;height:1.5pt" o:hralign="center" o:hrstd="t" o:hr="t"/>
        </w:pict>
      </w:r>
    </w:p>
    <w:p>
      <w:pPr>
        <w:pStyle w:val="FirstParagraph"/>
      </w:pPr>
      <w:r>
        <w:rPr>
          <w:iCs/>
          <w:i/>
        </w:rPr>
        <w:t xml:space="preserve">Ghi chú về trích dẫn: Các nghiên cứu P3–P8 được trích dẫn trong luận án dưới dạng "Đỗ &amp; Phan, 2026, bản thảo đang chuẩn bị" theo quy định về trích dẫn tài liệu chưa công bố của Trường Kinh tế, Đại học Cần Thơ. Các nghiên cứu P1 và P2 được trích dẫn theo thông tin công bố chính thức (Đỗ &amp; Phan, 2024, ICBEF).</w:t>
      </w:r>
    </w:p>
    <w:bookmarkEnd w:id="77"/>
    <w:bookmarkEnd w:id="78"/>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2026-05-25T01:54:13Z</dcterms:created>
  <dcterms:modified xsi:type="dcterms:W3CDTF">2026-05-25T01:54:13Z</dcterms:modified>
</cp:coreProperties>
</file>

<file path=docProps/custom.xml><?xml version="1.0" encoding="utf-8"?>
<Properties xmlns="http://schemas.openxmlformats.org/officeDocument/2006/custom-properties" xmlns:vt="http://schemas.openxmlformats.org/officeDocument/2006/docPropsVTypes"/>
</file>