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Xeb842970bc83042d8d18acf50fede2fc1910f98"/>
    <w:p>
      <w:pPr>
        <w:pStyle w:val="Heading2"/>
      </w:pPr>
      <w:r>
        <w:t xml:space="preserve">2.1 Các khái niệm cốt lõi</w:t>
      </w:r>
    </w:p>
    <w:bookmarkStart w:id="20" w:name="X95197dc4b90af853c087270af074cb545b6a612"/>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 "toàn cầu hóa" — vốn mang nghĩa một xu hướng kinh tế vĩ mô —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 FSTS), tỷ trọng tài sản ở nước ngoài trên tổng tài sản (foreign assets to total assets — FATA), và phạm vi địa lý (geographic scope). Trong những nghiên cứu sử dụng dữ liệu doanh nghiệp từ các nền kinh tế đang phát triển và từ khảo sát doanh nghiệp của Ngân hàng Thế giới (World Bank Enterprise Surveys — WBES), thước đo phổ biến nhất là cường độ quốc tế hóa (export intensity), tức là tỷ lệ phần trăm doanh số quốc tế trên tổng doanh số,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Do &amp; Phan, 2026a).</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X19c97dbf835db018e6cffdfce70267952cf17d6"/>
    <w:p>
      <w:pPr>
        <w:pStyle w:val="Heading3"/>
      </w:pPr>
      <w:r>
        <w:t xml:space="preserve">2.1.2 Hiệu quả hoạt động kinh doanh</w:t>
      </w:r>
    </w:p>
    <w:p>
      <w:pPr>
        <w:pStyle w:val="FirstParagraph"/>
      </w:pPr>
      <w:r>
        <w:t xml:space="preserve">Hiệu quả hoạt động kinh doanh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 vốn không cung cấp thông tin về giá cổ phiếu hay giá trị thị trường —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(Do &amp; Phan, 2026a). Luận án sử dụng thước đo này làm biến phụ thuộc chính, với ROS và tăng trưởng doanh thu được sử dụng như các thước đo robustness để kiểm tra tính nhất quán của kết quả.</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9c6b6eef2b3fa90aa8196d44cbc49a384fa7d7f"/>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 TCI) và chỉ số chấp nhận số (Digital Adoption Index — DAI). Trong nhiều nghiên cứu trước đây, hai construct này thường bị gộp lại thành một khái niệm chung về "năng lực số" (digital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 đây là chiều sâu nội tại của tổ chức, khó sao chép và tạo ra lợi thế bền vững theo tinh thần RBV (Barney, 1991).</w:t>
      </w:r>
    </w:p>
    <w:p>
      <w:pPr>
        <w:pStyle w:val="BodyText"/>
      </w:pPr>
      <w:r>
        <w:t xml:space="preserve">Chỉ số chấp nhận số (Digital Adoption Index — DAI), ngược lại, phản ánh mức độ áp dụng các công cụ số tại giao diện ngoại tại của doanh nghiệp —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 "foundational website adoption" từ dữ liệu WBES —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X6bd70045f4aae0cc6208f3a45673fcdcfb9dd8a"/>
    <w:p>
      <w:pPr>
        <w:pStyle w:val="Heading3"/>
      </w:pPr>
      <w:r>
        <w:t xml:space="preserve">2.1.4 Bối cảnh thể chế và khung ICRV</w:t>
      </w:r>
    </w:p>
    <w:p>
      <w:pPr>
        <w:pStyle w:val="FirstParagraph"/>
      </w:pPr>
      <w:r>
        <w:t xml:space="preserve">Thể chế (institutions) theo North (1990) là "luật chơi" 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 Biến thiên chế độ bối cảnh thể chế) được phát triển như một công cụ phân loại có hệ thống. Khung ICRV chia 47 nền kinh tế trong phạm vi nghiên cứu thành sáu nhóm (sub-regime), dựa trên tổ hợp các chỉ số quản trị toàn cầu (World Governance Indicators —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(Frontier), và Nhóm VI (Pacific SIDS —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Xd1f28dbba0aaaf84fdd94ae0c3fe8487075de6a"/>
    <w:p>
      <w:pPr>
        <w:pStyle w:val="Heading2"/>
      </w:pPr>
      <w:r>
        <w:t xml:space="preserve">2.2 Các lý thuyết nền</w:t>
      </w:r>
    </w:p>
    <w:bookmarkStart w:id="25" w:name="X123f2d0cccf9e047426163a78ac712a37336f74"/>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 "gánh nặng của người nước ngoài" (liability of foreignness) — chi phí và bất lợi mà doanh nghiệp phải gánh chịu khi hoạt động ở môi trường văn hóa, thể chế, và pháp lý xa lạ (Zaheer, 1995). Johanson và Vahlne (2009) cập nhật mô hình bằng cách bổ sung khái niệm "gánh nặng của người ngoài mạng lưới" (liability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 tức doanh nghiệp quốc tế hóa ngay từ giai đoạn đầu mà không theo trình tự tuần tự — và platform firms — tức doanh nghiệp công nghệ tận dụng nền tảng số để vươn ra thị trường quốc tế không cần hiện diện vật lý —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 "học hỏi tăng cường bằng dữ liệu số" (data-augmented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Xd46e050d683b59cb485bc3079e0c0f791ad8652"/>
    <w:p>
      <w:pPr>
        <w:pStyle w:val="Heading3"/>
      </w:pPr>
      <w:r>
        <w:t xml:space="preserve">2.2.2 Lý thuyết dựa trên nguồn lực</w:t>
      </w:r>
    </w:p>
    <w:p>
      <w:pPr>
        <w:pStyle w:val="FirstParagraph"/>
      </w:pPr>
      <w:r>
        <w:t xml:space="preserve">Lý thuyết dựa trên nguồn lực (Resource-Based View —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 theo phân biệt của luận án — được xem là một dạng năng lực động quan trọng, cho phép doanh nghiệp tái cấu hình nguồn lực và mô hình kinh doanh để ứng phó với bất định trong quốc tế hóa (Bhandari et al., 2023; Verhoef et al., 2021). DAI — chỉ số áp dụng số nền tảng (Tier-1 proxy) đo lường sự hiện diện website —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26"/>
    <w:bookmarkStart w:id="27" w:name="X8df923fa541d02623fafefda8e8dfdd0f8f8811"/>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 cả chính thức lẫn phi chính thức —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 từ hệ thống pháp lý đến thị trường vốn, từ tổ chức đánh giá tín nhiệm đến hiệp hội ngành nghề — tạo ra "khoảng trống thể chế" (institutional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 phân tích 170 nghiên cứu với 32 quốc gia giai đoạn 1972–2012 — cho thấy thể chế quốc gia nguồn điều tiết đáng kể mối quan hệ quốc tế hóa —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X146ba0dc244c296ae552c63cd5ae9ae43aef1fe"/>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 "tổ chức là sự phản chiếu của nhà quản trị đỉnh cao" (Hambrick &amp; Mason, 1984, tr. 193).</w:t>
      </w:r>
    </w:p>
    <w:p>
      <w:pPr>
        <w:pStyle w:val="BodyText"/>
      </w:pPr>
      <w:r>
        <w:t xml:space="preserve">Trong bối cảnh quốc tế hóa, Upper Echelons Theory có hai hàm ý trực tiếp. Thứ nhất, kinh nghiệm quốc tế của nhà quản trị cấp cao — được đo bằng số năm kinh nghiệm làm việc hoặc học tập ở nước ngoài, hay tiếp xúc với thị trường quốc tế — giúp giảm nhận thức về liability of foreignness và nâng cao khả năng đánh giá cơ hội, quản trị rủi ro ở thị trường quốc tế (Hsu et al., 2013; Sambharya, 1996). Thứ hai, sự đa dạng giới tính trong lãnh đạo — đặc biệt là sự hiện diện của quản trị viên nữ ở các vị trí lãnh đạo — liên quan đến nhận thức chiến lược đa chiều hơn và thực tiễn quản trị rủi ro thận trọng hơn, qua đó có tác động tích cực đến hiệu quả hoạt động kinh doanh trong quá trình quốc tế hóa (Post &amp; Byron, 2015). Những hàm ý này cung cấp cơ sở lý thuyết cho giả thuyết H4 về vai trò điều tiết của đặc điểm nhà quản trị cấp cao.</w:t>
      </w:r>
    </w:p>
    <w:bookmarkEnd w:id="28"/>
    <w:bookmarkStart w:id="29" w:name="X755678d15ddc1a8c13dbc8244350f9a59bba034"/>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29"/>
    <w:bookmarkEnd w:id="30"/>
    <w:bookmarkStart w:id="35" w:name="Xb68718caf7a2cd6e9eb5a792769262881ac883e"/>
    <w:p>
      <w:pPr>
        <w:pStyle w:val="Heading2"/>
      </w:pPr>
      <w:r>
        <w:t xml:space="preserve">2.3 Tổng quan thực nghiệm</w:t>
      </w:r>
    </w:p>
    <w:bookmarkStart w:id="31" w:name="Xdced885a630e2fc91d9034fc02dca256c5d6811"/>
    <w:p>
      <w:pPr>
        <w:pStyle w:val="Heading3"/>
      </w:pPr>
      <w:r>
        <w:t xml:space="preserve">2.3.1 Giai đoạn phát triển của literature I–P</w:t>
      </w:r>
    </w:p>
    <w:p>
      <w:pPr>
        <w:pStyle w:val="FirstParagraph"/>
      </w:pPr>
      <w:r>
        <w:t xml:space="preserve">Nghiên cứu về mối quan hệ giữa quốc tế hóa và hiệu quả hoạt động kinh doanh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 "đường cong chữ S ba giai đoạn" (three-stage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 kết quả quốc tế hóa phụ thuộc vào điều kiện cụ thể của doanh nghiệp, ngành và quốc gia (Arte &amp; Larimo, 2022).</w:t>
      </w:r>
    </w:p>
    <w:bookmarkEnd w:id="31"/>
    <w:bookmarkStart w:id="32" w:name="X1a2e519e3eb745ccb5a9310ee8e928b32e9ba76"/>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 nghiên cứu meta-analytic toàn diện nhất trong literature với 170 nghiên cứu và 32 quốc gia —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effect-size units cho thấy r = 0,07 — nhất quán với các meta-analyses toàn cầu nhưng cụ thể hơn về bối cảnh châu Á. Luận án này mở rộng pool đó thông qua Nghiên cứu P6 — một meta-analysis ba tầng (three-level MARA) với k = 238 nghiên cứu và K = 288 effect sizes từ 49 nền kinh tế, ước lượng r̄ = 0,074 [KTC 95%: 0,060; 0,088], I² = 62,4% (chủ yếu ở Tầng 2 trong-nghiên-cứu = 54,1%; Tầng 3 giữa-nghiên-cứu = 8,4%), Q_M(ICRV) = 17,35 (df = 4, p = ,002). Kết quả xác nhận tác động tổng hợp dương nhỏ nhưng bền vững; đồng thời phát hiện thiên lệch công bố đáng kể (Begg τ = −0,134, p = ,0007; Egger b = 0,475, p = ,057; trim-and-fill r_adj = 0,035) — gợi ý pooled effect thực có thể thấp hơn khoảng 53% so với ước lượng thô (Do &amp; Phan, 2026c).</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 đặc biệt là thể chế quốc gia, năng lực doanh nghiệp, và đặc điểm ngành — là những nguồn giải thích chính cho sự khác biệt giữa các nghiên cứu. Đây là luận điểm cơ bản biện hộ cho sự cần thiết của một khung giải thích đa tầng.</w:t>
      </w:r>
    </w:p>
    <w:bookmarkEnd w:id="32"/>
    <w:bookmarkStart w:id="33" w:name="Xee1bebe325ab2d4682f3ee8a885eb236c48b900"/>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Pacific SIDS với quy mô siêu nhỏ và hạ tầng thể chế còn sơ khai (Khanna &amp; Palepu, 2010; Peng, 2003). Thứ hai, tốc độ chuyển đổi số và hội nhập quốc tế rất không đồng đều giữa các quốc gia trong khu vực, tạo ra "thí nghiệm tự nhiên" về ảnh hưởng của bối cảnh thể chế và năng lực số đến kết quả quốc tế hóa.</w:t>
      </w:r>
    </w:p>
    <w:p>
      <w:pPr>
        <w:pStyle w:val="BodyText"/>
      </w:pPr>
      <w:r>
        <w:t xml:space="preserve">Do và Phan (2026a)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 phát hiện được gọi là "hiệu ứng lá chắn số" (digital shield effect). Do và Phan (2026g) kiểm định cụ thể với dữ liệu doanh nghiệp Trung Quốc và tìm thấy cấu trúc cubic inverted-U với ngưỡng FSTS tối ưu khoảng 47,8% — tức điểm turning point khá thấp so với các nền kinh tế tiên tiến. Luận án kế thừa và mở rộng các kết quả này trên pool đầy đủ 49 nền kinh tế (bao gồm 9 nền kinh tế đảo nhỏ Thái Bình Dương).</w:t>
      </w:r>
    </w:p>
    <w:p>
      <w:pPr>
        <w:pStyle w:val="BodyText"/>
      </w:pPr>
      <w:r>
        <w:t xml:space="preserve">Phần lớn các nghiên cứu về I–P trong bối cảnh châu Á tập trung vào Nhật Bản, Hàn Quốc, Đài Loan, và Trung Quốc — trong khi các nền kinh tế chuyển đổi như Việt Nam, Campuchia, Bangladesh, và đặc biệt là các Pacific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dcf8d5acfbfe96d373642e6e2aa58fc72c4137f"/>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quốc tế hóa,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34"/>
    <w:bookmarkEnd w:id="35"/>
    <w:bookmarkStart w:id="36" w:name="Xf45ba9d58640f4ad8d0eb51a37a564f5aeb40a8"/>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 dù là Uppsala, RBV, Institutional Theory, hay Upper Echelons Theory —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Do và Phan (2026a) là baseline lớn nhất hiện có trong literature về châu Á, nhưng vẫn chưa bao gồm các nền kinh tế frontier và Pacific SIDS — những địa điểm cực kỳ quan trọng để kiểm định boundary conditions. Thiếu vắng các bằng chứng này khiến cho các lý thuyết về I–P — vốn được xây dựng chủ yếu trên dữ liệu từ Nhật Bản, Hàn Quốc, và các nền kinh tế tiên tiến —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hoạt động kinh doanh (labor productivity) là biến phụ thuộc.</w:t>
      </w:r>
    </w:p>
    <w:p>
      <w:pPr>
        <w:pStyle w:val="BodyText"/>
      </w:pPr>
      <w:r>
        <w:rPr>
          <w:bCs/>
          <w:b/>
        </w:rPr>
        <w:t xml:space="preserve">Từ khoảng trống đến Nghiên cứu P7 —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Do và Phan (2026d) — Nghiên cứu P7 — lấp đầy khoảng trống này bằng dữ liệu WBES từ 49 nền kinh tế (N = 84.910–91.982 doanh nghiệp, 102 country-year waves), bao phủ toàn bộ gradient ICRV từ nhóm tiên tiến đến SIDS, kiểm định đồng thời H1–H6 với country-year fixed effects. Kết quả turning point trung bình ~36% FSTS tại P7 — thấp hơn P3 Vietnam (~40%) và P5 Trung Quốc (~49%) —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 Kiểm định điều kiện biên FIP tại Pacific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literature I–P hiện tại kiểm định "Forced Internationalization Penalty" (FIP) — bối cảnh mà quốc tế hóa là gánh nặng sinh tồn, không phải lựa chọn chiến lược dựa trên lợi thế cạnh tranh. Do và Phan (2026b) — Nghiên cứu P8 — kiểm định H1b bằng dữ liệu WBES từ các nền kinh tế Pacific SIDS (Fiji, Tonga, Solomon Islands, Vanuatu, Samoa),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6"/>
    <w:bookmarkStart w:id="45" w:name="X2e72411c23c34d41d1942bd5d4fbf8ae22da5d2"/>
    <w:p>
      <w:pPr>
        <w:pStyle w:val="Heading2"/>
      </w:pPr>
      <w:r>
        <w:t xml:space="preserve">2.5 Mô hình nghiên cứu và hệ giả thuyết</w:t>
      </w:r>
    </w:p>
    <w:bookmarkStart w:id="37" w:name="X45cacfa706139c50548e97564081354b0b3764b"/>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(labor productivity) được điều tiết đồng thời bởi ba tầng can thiệp.</w:t>
      </w:r>
    </w:p>
    <w:p>
      <w:pPr>
        <w:pStyle w:val="BodyText"/>
      </w:pPr>
      <w:r>
        <w:t xml:space="preserve">Tầng vĩ mô — bối cảnh thể chế — được vận hành hóa bằng khung ICRV với sáu sub-regime theo gradient từ Advanced Innovation-Driven đến Pacific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(Do &amp; Phan, 2026b).</w:t>
      </w:r>
    </w:p>
    <w:p>
      <w:pPr>
        <w:pStyle w:val="BodyText"/>
      </w:pPr>
      <w:r>
        <w:t xml:space="preserve">Tầng tổ chức — năng lực doanh nghiệp — bao gồm TCI và DAI như hai moderator độc lập với cơ chế tác động khác nhau. TCI đóng vai trò như một "nâng đỡ mặt bằng" (level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 "bộ đệm phối hợp số" (digital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 đặc điểm nhà quản trị cấp cao —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bookmarkEnd w:id="37"/>
    <w:bookmarkStart w:id="38" w:name="Xa138305ccd4d6ccfbd8098a87bf493c47bc52a0"/>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38"/>
    <w:bookmarkStart w:id="39" w:name="Xe4ffb858a7447a24d1a3ea96cd77f59659cfb85"/>
    <w:p>
      <w:pPr>
        <w:pStyle w:val="Heading3"/>
      </w:pPr>
      <w:r>
        <w:t xml:space="preserve">2.5.2b Điều kiện biên H1b: Gánh nặng quốc tế hóa bắt buộc (FIP) tại Pacific SIDS</w:t>
      </w:r>
    </w:p>
    <w:p>
      <w:pPr>
        <w:pStyle w:val="FirstParagraph"/>
      </w:pPr>
      <w:r>
        <w:t xml:space="preserve">H1 dự báo quan hệ chữ U ngược —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Pacific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ngưỡng</w:t>
      </w:r>
      <w:r>
        <w:t xml:space="preserve"> </w:t>
      </w:r>
      <w:r>
        <w:t xml:space="preserve">— tức là điều kiện biên lý thuyết nơi mọi mức độ quốc tế hóa đều gây tổn hại đến hiệu quả hoạt động kinh doanh.</w:t>
      </w:r>
    </w:p>
    <w:p>
      <w:pPr>
        <w:pStyle w:val="BodyText"/>
      </w:pPr>
      <w:r>
        <w:t xml:space="preserve">Giả thuyết H1b được phát biểu như sau. Tại các nền kinh tế Pacific SIDS (ICRV Nhóm VI), mối quan hệ giữa mức độ quốc tế hóa (FSTS) và hiệu quả hoạt động kinh doanh (năng suất lao động) là</w:t>
      </w:r>
      <w:r>
        <w:t xml:space="preserve"> </w:t>
      </w:r>
      <w:r>
        <w:rPr>
          <w:bCs/>
          <w:b/>
        </w:rPr>
        <w:t xml:space="preserve">âm đơn điệu</w:t>
      </w:r>
      <w:r>
        <w:t xml:space="preserve"> </w:t>
      </w:r>
      <w:r>
        <w:t xml:space="preserve">— không có điểm turning point trong phạm vi dữ liệu — phản ánh gánh nặng quốc tế hóa bắt buộc (Forced Internationalization Penalty —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39"/>
    <w:bookmarkStart w:id="40" w:name="Xbab760a32cde05e137045bc8f7a3707f43bde01"/>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40"/>
    <w:bookmarkStart w:id="41" w:name="Xe02c8b4badca737e34d9828c14f576073ebfca3"/>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1"/>
    <w:bookmarkStart w:id="42" w:name="Xf3c96f7a7f1c969bc60bd7349590849b049c32c"/>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w:t>
      </w:r>
    </w:p>
    <w:bookmarkEnd w:id="42"/>
    <w:bookmarkStart w:id="43" w:name="X6cb624958e89d2dec9f57563abada44477d846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 "lá chắn số" (digital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3"/>
    <w:bookmarkStart w:id="44" w:name="X61cc752874ba7b59207724628dc012c7fefbefb"/>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 cụ thể là vị trí của điểm turning point và độ cong của đường quan hệ —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Do và Phan (2026g)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4"/>
    <w:bookmarkEnd w:id="45"/>
    <w:bookmarkStart w:id="46" w:name="X80aaa8b1e91108605e0ad5aa38ac8f05a046a38"/>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 Uppsala, RBV, Institutional Theory, và Upper Echelons Theory —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2026-05-25T01:54:13Z</dcterms:created>
  <dcterms:modified xsi:type="dcterms:W3CDTF">2026-05-25T01:54:13Z</dcterms:modified>
</cp:coreProperties>
</file>

<file path=docProps/custom.xml><?xml version="1.0" encoding="utf-8"?>
<Properties xmlns="http://schemas.openxmlformats.org/officeDocument/2006/custom-properties" xmlns:vt="http://schemas.openxmlformats.org/officeDocument/2006/docPropsVTypes"/>
</file>