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hội tụ về vai trò điều tiết của thể chế: phân tích meta-analytic (P6) xác nhận hiệu ứng tổng hợp I→P</w:t>
      </w:r>
      <w:r>
        <w:t xml:space="preserve"> </w:t>
      </w:r>
      <w:r>
        <w:rPr>
          <w:bCs/>
          <w:b/>
        </w:rPr>
        <w:t xml:space="preserve">khác biệt có ý nghĩa thống kê</w:t>
      </w:r>
      <w:r>
        <w:t xml:space="preserve"> </w:t>
      </w:r>
      <w:r>
        <w:t xml:space="preserve">giữa các chế độ thể chế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w:t>
      </w:r>
      <w:r>
        <w:t xml:space="preserve"> </w:t>
      </w:r>
      <m:oMath>
        <m:r>
          <m:t>k</m:t>
        </m:r>
        <m:r>
          <m:rPr>
            <m:sty m:val="p"/>
          </m:rPr>
          <m:t>=</m:t>
        </m:r>
        <m:r>
          <m:t>238</m:t>
        </m:r>
      </m:oMath>
      <w:r>
        <w:t xml:space="preserve">), còn phân tích dữ liệu sơ cấp toàn mẫu (P7,</w:t>
      </w:r>
      <w:r>
        <w:t xml:space="preserve"> </w:t>
      </w:r>
      <m:oMath>
        <m:r>
          <m:t>N</m:t>
        </m:r>
        <m:r>
          <m:rPr>
            <m:sty m:val="p"/>
          </m:rPr>
          <m:t>=</m:t>
        </m:r>
        <m:r>
          <m:t>84.910</m:t>
        </m:r>
      </m:oMath>
      <w:r>
        <w:t xml:space="preserve"> </w:t>
      </w:r>
      <w:r>
        <w:t xml:space="preserve">quan sát từ 49 nền kinh tế) thiết lập</w:t>
      </w:r>
      <w:r>
        <w:t xml:space="preserve"> </w:t>
      </w:r>
      <w:r>
        <w:rPr>
          <w:bCs/>
          <w:b/>
        </w:rPr>
        <w:t xml:space="preserve">hình dạng</w:t>
      </w:r>
      <w:r>
        <w:t xml:space="preserve"> </w:t>
      </w:r>
      <w:r>
        <w:t xml:space="preserve">của gradient: điểm ngưỡng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hoạt động kinh doanh.</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w:t>
      </w:r>
      <m:oMath>
        <m:r>
          <m:t>K</m:t>
        </m:r>
        <m:r>
          <m:rPr>
            <m:sty m:val="p"/>
          </m:rPr>
          <m:t>=</m:t>
        </m:r>
        <m:r>
          <m:t>288</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dị biệt</w:t>
      </w:r>
      <w:r>
        <w:t xml:space="preserve"> </w:t>
      </w:r>
      <w:r>
        <w:rPr>
          <w:bCs/>
          <w:b/>
        </w:rPr>
        <w:t xml:space="preserve">chủ yếu nằm ở trong từng nghiên cứu</w:t>
      </w:r>
      <w:r>
        <w:t xml:space="preserve"> </w:t>
      </w:r>
      <w:r>
        <w:t xml:space="preserve">(Tầng 2 = 54,1%) chứ không phải giữa các nghiên cứu (Tầng 3 = 8,4%) — thông tin mới mà phân tích meta đơn tầng không cung cấp. Điều này thay đổi hiểu biết về nguồn gốc của heterogeneity trong literature: các</w:t>
      </w:r>
      <w:r>
        <w:t xml:space="preserve"> </w:t>
      </w:r>
      <w:r>
        <w:rPr>
          <w:bCs/>
          <w:b/>
        </w:rPr>
        <w:t xml:space="preserve">lựa chọn đo lường và đặc tả bên trong nghiên cứu</w:t>
      </w:r>
      <w:r>
        <w:t xml:space="preserve"> </w:t>
      </w:r>
      <w:r>
        <w:t xml:space="preserve">(chứ không phải sự khác biệt bối cảnh quốc gia ổn định giữa các nghiên cứu) là nguồn chính của dị biệt. Bên cạnh đó,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 là một phát hiện riêng, gợi ý pooled effect thô có thể bị thổi phồng so với hiệu ứng dân số thực.</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K</m:t>
        </m:r>
        <m:r>
          <m:rPr>
            <m:sty m:val="p"/>
          </m:rPr>
          <m:t>=</m:t>
        </m:r>
        <m:r>
          <m:t>288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(Tầng 2 = 54,1%, Tầng 3 = 8,4%), ICRV omnibus</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thiên lệch công bố đáng kể (Begg</w:t>
      </w:r>
      <w:r>
        <w:t xml:space="preserve">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ngưỡng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2026-05-25T01:54:14Z</dcterms:created>
  <dcterms:modified xsi:type="dcterms:W3CDTF">2026-05-25T01:54:14Z</dcterms:modified>
</cp:coreProperties>
</file>

<file path=docProps/custom.xml><?xml version="1.0" encoding="utf-8"?>
<Properties xmlns="http://schemas.openxmlformats.org/officeDocument/2006/custom-properties" xmlns:vt="http://schemas.openxmlformats.org/officeDocument/2006/docPropsVTypes"/>
</file>