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 dương trong OLS nhưng phụ thuộc bối cảnh và có thể null trong kiểm định nhân quả) và có điều kiện/null ở Advanced (H3b),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 positive under OLS but subject to selection bias (P3 IV: β = 0.018, p = .942) —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số quốc tế trên tổng doanh số</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hoạt động kinh doanh: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quốc tế hóa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ngưỡng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ngưỡng hàm ý ở FSTS khoảng 82%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ngưỡng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ngưỡng giữa các nhóm ICRV và giai đoạn thời gian. Phần mềm: Stata 18 (OLS, IV, margins) kết hợp R (LOWESS, ggplot2, CI điểm ngưỡng).</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hoạt động kinh doanh.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ngưỡng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ngưỡng,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quốc tế hóa.</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ngưỡng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ngưỡng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ngưỡng hàm ý ở FSTS khoảng 82%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ngưỡng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ngưỡng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ngưỡng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quốc tế hóa đối mặt với chi phí học tập ban đầu, sau đó thu được lợi ích quy mô, nhưng vượt quá ngưỡng nhất định lại chịu chi phí phối hợp. Bằng chứng P3 Việt Nam (điểm ngưỡng 39–46%) và P5 Trung Quốc (điểm ngưỡng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dc5423e7a0a0b2d3707e5b67f7523984c238683"/>
    <w:p>
      <w:pPr>
        <w:pStyle w:val="Heading5"/>
      </w:pPr>
      <w:r>
        <w:t xml:space="preserve">Hình 2.1 —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quốc tế hóa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52"/>
    <w:bookmarkStart w:id="53"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ngưỡng thấp nhất (~28%, P7 toàn mẫu)</w:t>
      </w:r>
      <w:r>
        <w:t xml:space="preserve"> </w:t>
      </w:r>
      <w:r>
        <w:t xml:space="preserve">— thể chế mạnh giúp doanh nghiệp đạt đỉnh hiệu suất ở mức FSTS thấp hơn; Nhóm III có điểm ngưỡng trung bình (47–49%); Nhóm IV có điểm ngưỡng trung bình–thấp (39–46%); Nhóm V có điểm ngưỡng cao (~50–55%). Nhóm VI có pattern gánh nặng tắt buộc — không có chữ U ngược điển hình. Lưu ý: P4 Singapore (TP ~82%) là ngoại lệ đơn quốc gia với LM p = 0,303 (không có ý nghĩa), không đại diện cho mẫu Nhóm I trong P7.</w:t>
      </w:r>
    </w:p>
    <w:p>
      <w:pPr>
        <w:pStyle w:val="BodyText"/>
      </w:pPr>
      <w:r>
        <w:t xml:space="preserve">Bằng chứng neo đậu: P3 Việt Nam (Nhóm IV): Lind–Mehlum p &lt; 0,001 (tổng hợp), điểm ngưỡng 39–46%. P5 Trung Quốc (Nhóm III): Lind–Mehlum xác nhận hai sóng, điểm ngưỡng 47–49%. P4 Singapore (Nhóm I): Lind–Mehlum p = 0,303 — chủ yếu dương, điểm ngưỡng ~82% (gần trần).</w:t>
      </w:r>
    </w:p>
    <w:p>
      <w:pPr>
        <w:pStyle w:val="BodyText"/>
      </w:pPr>
      <w:r>
        <w:t xml:space="preserve">H1: Quan hệ giữa cường độ quốc tế hóa (FSTS) và hiệu quả hoạt động kinh doanh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 Nhóm IV (~39–46%) → Nhóm V (~50–55%), với Nhóm VI có pattern gánh nặng tắt buộc (không có điểm ngưỡng).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ngưỡng.</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hoạt động kinh doanh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0516cda47fb7e119b35b670f6b14c3b43dbbdc7"/>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 Nhóm III–V): Trong các nền kinh tế đang nổi và cận biên, DAI điều tiết tích cực quan hệ FSTS →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 Nhóm I–II): Trong các nền kinh tế tiên tiến, tác động trực tiếp không điều kiện của DAI lên ln(LP) có thể null hoặc âm do bão hòa số và single-component measurement (chỉ website binary — Tier-1 proxy —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 H3c: β(TCI) ≠ β(DAI) và hai cấu trúc thỏa mãn tiêu chí discriminant validity).</w:t>
      </w:r>
    </w:p>
    <w:bookmarkEnd w:id="58"/>
    <w:bookmarkStart w:id="59"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ngưỡng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ngưỡng.</w:t>
      </w:r>
    </w:p>
    <w:p>
      <w:pPr>
        <w:pStyle w:val="BodyText"/>
      </w:pPr>
      <w:r>
        <w:t xml:space="preserve">Dự đoán điểm ngưỡng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w:t>
      </w:r>
      <w:r>
        <w:t xml:space="preserve"> </w:t>
      </w:r>
      <w:r>
        <w:rPr>
          <w:bCs/>
          <w:b/>
        </w:rPr>
        <w:t xml:space="preserve">giảm đơn điệu</w:t>
      </w:r>
      <w:r>
        <w:t xml:space="preserve"> </w:t>
      </w:r>
      <w:r>
        <w:t xml:space="preserve">theo gradient từ Nhóm V (~50–55%) xuống Nhóm I (~28%) —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ngưỡng ổn định (bền vững cấu trúc H2b xác nhận).</w:t>
      </w:r>
    </w:p>
    <w:p>
      <w:pPr>
        <w:pStyle w:val="BodyText"/>
      </w:pPr>
      <w:r>
        <w:t xml:space="preserve">H6: Tác động của quốc tế hóa lên hiệu quả hoạt động kinh doanh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ngưỡng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65"/>
    <w:bookmarkStart w:id="66"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8"/>
    <w:bookmarkStart w:id="69"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70"/>
    <w:bookmarkStart w:id="71"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ngưỡng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71"/>
    <w:bookmarkStart w:id="72"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ngưỡng:</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ngưỡng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ngưỡng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ngưỡng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ngưỡng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 mức độ số hóa cấp quốc gia; (ii) ICRV 6 nhóm; (iii) DPL phase. Kết quả MARA xác nhận: pooled</w:t>
      </w:r>
      <w:r>
        <w:t xml:space="preserve"> </w:t>
      </w:r>
      <w:r>
        <w:rPr>
          <w:iCs/>
          <w:i/>
        </w:rPr>
        <w:t xml:space="preserve">r</w:t>
      </w:r>
      <w:r>
        <w:t xml:space="preserve">=0,074 (CI [0,060; 0,088]), I²=62,4% (chủ yếu ở Tầng 2 trong-nghiên-cứu = 54,1%; Tầng 3 giữa-nghiên-cứu = 8,4%); ICRV omnibus Q_M=17,35 (df=4, p=,002) — H1 (kiểm định Q_M liên nhóm) được hỗ trợ nhưng gradient đơn điệu E1a/E1b chưa xác nhận được vì</w:t>
      </w:r>
      <w:r>
        <w:t xml:space="preserve"> </w:t>
      </w:r>
      <m:oMath>
        <m:sSub>
          <m:e>
            <m:r>
              <m:t>Q</m:t>
            </m:r>
          </m:e>
          <m:sub>
            <m:r>
              <m:t>M</m:t>
            </m:r>
          </m:sub>
        </m:sSub>
      </m:oMath>
      <w:r>
        <w:t xml:space="preserve"> </w:t>
      </w:r>
      <w:r>
        <w:t xml:space="preserve">bị chi phối bởi ô Frontier thưa (k=3); cDAI (Q_M=1,23, p=,541) và DPL (Q_M=0,56, p=,755) không có ý nghĩa (H2, H3 không được hỗ trợ). Phát hiện chính: publication bias xác nhận qua Begg–Mazumdar τ=−0,134 (p=,0007) và trim-and-fill k=58 imputed,</w:t>
      </w:r>
      <w:r>
        <w:t xml:space="preserve"> </w:t>
      </w:r>
      <w:r>
        <w:rPr>
          <w:iCs/>
          <w:i/>
        </w:rPr>
        <w:t xml:space="preserve">r</w:t>
      </w:r>
      <w:r>
        <w:t xml:space="preserve">_adj=0,035 (CI [0,023; 0,048]) — pooled effect thực tế thấp hơn khoảng 53% so với ước lượng thô (Egger b=0,475, p=,057 — sát ngưỡng nhưng không đạt α=,05). Đóng góp của P6 trong khuôn khổ CD2: xác nhận Q_M liên-nhóm ICRV có ý nghĩa thống kê; đồng thời cho thấy dị biệt phương sai</w:t>
      </w:r>
      <w:r>
        <w:t xml:space="preserve"> </w:t>
      </w:r>
      <w:r>
        <w:rPr>
          <w:bCs/>
          <w:b/>
        </w:rPr>
        <w:t xml:space="preserve">chủ yếu nằm ở trong từng nghiên cứu</w:t>
      </w:r>
      <w:r>
        <w:t xml:space="preserve"> </w:t>
      </w:r>
      <w:r>
        <w:t xml:space="preserve">(Tầng 2 = 54,1%, gấp khoảng sáu lần Tầng 3 = 8,4%), gợi ý rằng các lựa chọn phương pháp bên trong nghiên cứu — chứ không phải sự khác biệt thể chế hay số hoá giữa các quốc gia — là nguồn chính của heterogeneity quan sát được; thiên lệch công bố là một phát hiện riêng làm giảm ước lượng hiệu ứng thực.</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24"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4">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5">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6">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7">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8">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9">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0">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1">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2">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3">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6">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7">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1">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2">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13">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14">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5">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6">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7">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9">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21">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22">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23">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24"/>
    <w:bookmarkStart w:id="129" w:name="phụ-lục"/>
    <w:p>
      <w:pPr>
        <w:pStyle w:val="Heading2"/>
      </w:pPr>
      <w:r>
        <w:t xml:space="preserve">PHỤ LỤC</w:t>
      </w:r>
    </w:p>
    <w:bookmarkStart w:id="125"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25"/>
    <w:bookmarkStart w:id="126"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ngưỡng 46,2% (2009), 39,3% (2015), 41,6% (2023), 39,7% (tổng hợp); TCI nhân quả (β = 1,639, F bậc một = 22,1); DAI phụ thuộc chọn lựa (β_IV = 0,018, F bậc một = 34,6); Paternoster z = 3,353 giữa điểm ngưỡng 2009 và 2015 (p &lt; 0,001).</w:t>
      </w:r>
    </w:p>
    <w:p>
      <w:pPr>
        <w:pStyle w:val="BodyText"/>
      </w:pPr>
      <w:r>
        <w:t xml:space="preserve">P4 — Singapore (MIR, under review): Mar, K. S., Đỗ, T. H., &amp; Phan, A. T. (2026). Phân tích 623 doanh nghiệp WBES 2023. Kết quả chính: đường cong I→P chủ yếu dương; điểm ngưỡng hàm ý ~82%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ngưỡng 49,4% (2012), 47,2% (2024), Paternoster FSTS² p = 0,545 (không có sự khác biệt đáng kể); TCI tăng cường theo thời gian (+0,260 → +0,426, Paternoster p = 0,011).</w:t>
      </w:r>
    </w:p>
    <w:bookmarkEnd w:id="126"/>
    <w:bookmarkStart w:id="127"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ngưỡng, và 95% CI điểm ngưỡng.</w:t>
      </w:r>
    </w:p>
    <w:p>
      <w:pPr>
        <w:pStyle w:val="BodyText"/>
      </w:pPr>
      <w:r>
        <w:t xml:space="preserve">Kiểm định Paternoster: báo cáo z-statistic và p-value hai chiều cho so sánh hệ số giữa hai nhóm hoặc hai giai đoạn.</w:t>
      </w:r>
    </w:p>
    <w:bookmarkEnd w:id="127"/>
    <w:bookmarkStart w:id="128"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8"/>
    <w:bookmarkEnd w:id="129"/>
    <w:bookmarkEnd w:id="1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2026-05-25T01:54:18Z</dcterms:created>
  <dcterms:modified xsi:type="dcterms:W3CDTF">2026-05-25T01:54:18Z</dcterms:modified>
</cp:coreProperties>
</file>

<file path=docProps/custom.xml><?xml version="1.0" encoding="utf-8"?>
<Properties xmlns="http://schemas.openxmlformats.org/officeDocument/2006/custom-properties" xmlns:vt="http://schemas.openxmlformats.org/officeDocument/2006/docPropsVTypes"/>
</file>