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Can Tho University / Huong Do Thi Thuy</w:t>
      </w:r>
      <w:r>
        <w:t xml:space="preserve"> </w:t>
      </w:r>
      <w:r>
        <w:rPr>
          <w:bCs/>
          <w:b/>
        </w:rPr>
        <w:t xml:space="preserve">Phan Anh Tú</w:t>
      </w:r>
      <w:r>
        <w:t xml:space="preserve">, Can Tho University</w:t>
      </w:r>
    </w:p>
    <w:p>
      <w:pPr>
        <w:pStyle w:val="BodyText"/>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First three-level meta-analytic regression analysis (MARA) of the internationalization–performance (I-P) relationship testing whether country-level digital adoption (cDAI), institutional context regime (ICRV), and Digital Paradox Lifecycle (DPL) phase moderate it across a geographically diverse corpus.</w:t>
      </w:r>
    </w:p>
    <w:p>
      <w:pPr>
        <w:pStyle w:val="BodyText"/>
      </w:pPr>
      <w:r>
        <w:rPr>
          <w:bCs/>
          <w:b/>
        </w:rPr>
        <w:t xml:space="preserve">Design/methodology/approach.</w:t>
      </w:r>
      <w:r>
        <w:t xml:space="preserve"> </w:t>
      </w:r>
      <w:r>
        <w:t xml:space="preserve">Following PRISMA 2020,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Three-level MARA via</w:t>
      </w:r>
      <w:r>
        <w:t xml:space="preserve"> </w:t>
      </w:r>
      <w:r>
        <w:rPr>
          <w:iCs/>
          <w:i/>
        </w:rPr>
        <w:t xml:space="preserve">metafor</w:t>
      </w:r>
      <w:r>
        <w:t xml:space="preserve"> </w:t>
      </w:r>
      <w:r>
        <w:t xml:space="preserve">decomposes within- and between-study heterogeneity under OSF pre-registration.</w:t>
      </w:r>
    </w:p>
    <w:p>
      <w:pPr>
        <w:pStyle w:val="BodyText"/>
      </w:pPr>
      <w:r>
        <w:rPr>
          <w:bCs/>
          <w:b/>
        </w:rPr>
        <w:t xml:space="preserve">Findings.</w:t>
      </w:r>
      <w:r>
        <w:t xml:space="preserve"> </w:t>
      </w:r>
      <w:r>
        <w:t xml:space="preserve">Pooled effect</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full-sample ICRV omnibus is significant (</w:t>
      </w:r>
      <w:r>
        <w:rPr>
          <w:iCs/>
          <w:i/>
        </w:rPr>
        <w:t xml:space="preserve">Q</w:t>
      </w:r>
      <w:r>
        <w:t xml:space="preserve">_M = 17.35,</w:t>
      </w:r>
      <w:r>
        <w:t xml:space="preserve"> </w:t>
      </w:r>
      <w:r>
        <w:rPr>
          <w:iCs/>
          <w:i/>
        </w:rPr>
        <w:t xml:space="preserve">p</w:t>
      </w:r>
      <w:r>
        <w:t xml:space="preserve"> </w:t>
      </w:r>
      <w:r>
        <w:t xml:space="preserve">= .002) but not robust: drop-Frontier sensitivity yields</w:t>
      </w:r>
      <w:r>
        <w:t xml:space="preserve"> </w:t>
      </w:r>
      <w:r>
        <w:rPr>
          <w:iCs/>
          <w:i/>
        </w:rPr>
        <w:t xml:space="preserve">Q</w:t>
      </w:r>
      <w:r>
        <w:t xml:space="preserve">_M = 1.49 (</w:t>
      </w:r>
      <w:r>
        <w:rPr>
          <w:iCs/>
          <w:i/>
        </w:rPr>
        <w:t xml:space="preserve">p</w:t>
      </w:r>
      <w:r>
        <w:t xml:space="preserve"> </w:t>
      </w:r>
      <w:r>
        <w:t xml:space="preserve">= .68); cDAI and DPL moderation are non-significant. Trim-and-fill imputes</w:t>
      </w:r>
      <w:r>
        <w:t xml:space="preserve"> </w:t>
      </w:r>
      <w:r>
        <w:rPr>
          <w:iCs/>
          <w:i/>
        </w:rPr>
        <w:t xml:space="preserve">k</w:t>
      </w:r>
      <w:r>
        <w:t xml:space="preserve"> </w:t>
      </w:r>
      <w:r>
        <w:t xml:space="preserve">= 58 missing studies, cutting</w:t>
      </w:r>
      <w:r>
        <w:t xml:space="preserve"> </w:t>
      </w:r>
      <w:r>
        <w:rPr>
          <w:iCs/>
          <w:i/>
        </w:rPr>
        <w:t xml:space="preserve">r</w:t>
      </w:r>
      <w:r>
        <w:t xml:space="preserve"> </w:t>
      </w:r>
      <w:r>
        <w:t xml:space="preserve">to .035 — a ~53% attenuation (Begg</w:t>
      </w:r>
      <w:r>
        <w:t xml:space="preserve"> </w:t>
      </w:r>
      <w:r>
        <w:rPr>
          <w:iCs/>
          <w:i/>
        </w:rPr>
        <w:t xml:space="preserve">p</w:t>
      </w:r>
      <w:r>
        <w:t xml:space="preserve"> </w:t>
      </w:r>
      <w:r>
        <w:t xml:space="preserve">&lt; .001).</w:t>
      </w:r>
    </w:p>
    <w:p>
      <w:pPr>
        <w:pStyle w:val="BodyText"/>
      </w:pPr>
      <w:r>
        <w:rPr>
          <w:bCs/>
          <w:b/>
        </w:rPr>
        <w:t xml:space="preserve">Originality/value.</w:t>
      </w:r>
      <w:r>
        <w:t xml:space="preserve"> </w:t>
      </w:r>
      <w:r>
        <w:t xml:space="preserve">First three-level MARA and first pre-registered cDAI/ICRV/DPL meta-test in the I-P literature;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§4.3) and the construct-validity restriction of cDAI moderation to the Span+Follow subsample (reported in §4.4) were added in response to data features identified during analysis; we report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3"/>
    <w:bookmarkStart w:id="37"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corpus analysed in this article is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 Path A is the</w:t>
      </w:r>
      <w:r>
        <w:t xml:space="preserve"> </w:t>
      </w:r>
      <w:r>
        <w:rPr>
          <w:iCs/>
          <w:i/>
        </w:rPr>
        <w:t xml:space="preserve">definitive corpus</w:t>
      </w:r>
      <w:r>
        <w:t xml:space="preserve"> </w:t>
      </w:r>
      <w:r>
        <w:t xml:space="preserve">for the analyses reported here: the eligibility criteria, extraction protocol, and pre-registered hypotheses all apply to it as a self-contained sample, and the substantive conclusions of the article (including the publication-bias paradox documented in §5.2) stand on Path A alone.</w:t>
      </w:r>
      <w:r>
        <w:t xml:space="preserve"> </w:t>
      </w:r>
      <w:r>
        <w:rPr>
          <w:bCs/>
          <w:b/>
        </w:rPr>
        <w:t xml:space="preserve">Path B</w:t>
      </w:r>
      <w:r>
        <w:t xml:space="preserve"> </w:t>
      </w:r>
      <w:r>
        <w:t xml:space="preserve">is a</w:t>
      </w:r>
      <w:r>
        <w:t xml:space="preserve"> </w:t>
      </w:r>
      <w:r>
        <w:rPr>
          <w:iCs/>
          <w:i/>
        </w:rPr>
        <w:t xml:space="preserve">prospective extension</w:t>
      </w:r>
      <w:r>
        <w:t xml:space="preserve"> </w:t>
      </w:r>
      <w:r>
        <w:t xml:space="preserve">via systematic WoS + Scopus search (20 May 2026): 3,263 records → 795 duplicates removed → 1,397 L1 excluded → 782 L2 screened over 8 rounds, yielding 785 Y / 1,694 N / 3 UNSURE; 741 of 785 Y carry DOIs, 547 await full-text extraction. We disclose Path B to document the planned future replication of the present article's results on a corpus of</w:t>
      </w:r>
      <w:r>
        <w:t xml:space="preserve"> </w:t>
      </w:r>
      <w:r>
        <w:rPr>
          <w:iCs/>
          <w:i/>
        </w:rPr>
        <w:t xml:space="preserve">k</w:t>
      </w:r>
      <w:r>
        <w:t xml:space="preserve"> </w:t>
      </w:r>
      <w:r>
        <w:t xml:space="preserve">≈ 600–700, not as a condition on the validity of the current findings.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BodyText"/>
      </w:pPr>
      <w:r>
        <w:drawing>
          <wp:inline>
            <wp:extent cx="5753100" cy="7273882"/>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1d41e663e785934d4feadbd21b81f03c51339a8"/>
    <w:p>
      <w:pPr>
        <w:pStyle w:val="Heading3"/>
      </w:pPr>
      <w:r>
        <w:t xml:space="preserve">3.3 Data Extraction and Quality Assurance</w:t>
      </w:r>
    </w:p>
    <w:bookmarkStart w:id="38"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8"/>
    <w:bookmarkStart w:id="39"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9"/>
    <w:bookmarkStart w:id="40"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40"/>
    <w:bookmarkEnd w:id="41"/>
    <w:bookmarkStart w:id="42"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42"/>
    <w:bookmarkStart w:id="43"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To guard against potential misspecification of the within-study dependence structure, all moderator-test</w:t>
      </w:r>
      <w:r>
        <w:t xml:space="preserve"> </w:t>
      </w:r>
      <w:r>
        <w:rPr>
          <w:iCs/>
          <w:i/>
        </w:rPr>
        <w:t xml:space="preserve">p</w:t>
      </w:r>
      <w:r>
        <w:t xml:space="preserve">-values and confidence intervals are additionally reported with cluster-robust standard errors via the CR2 small-sample correction of Tipton (2015), implemented in the</w:t>
      </w:r>
      <w:r>
        <w:t xml:space="preserve"> </w:t>
      </w:r>
      <w:r>
        <w:rPr>
          <w:rStyle w:val="VerbatimChar"/>
        </w:rPr>
        <w:t xml:space="preserve">clubSandwich</w:t>
      </w:r>
      <w:r>
        <w:t xml:space="preserve"> </w:t>
      </w:r>
      <w:r>
        <w:t xml:space="preserve">package (Pustejovsky &amp; Tipton, 2022) and clustered at the study level; this Robust Variance Estimation (RVE; Hedges, Tipton, &amp; Johnson, 2010) is asymptotically equivalent to the three-level model under a large between-study sample (</w:t>
      </w:r>
      <w:r>
        <w:rPr>
          <w:iCs/>
          <w:i/>
        </w:rPr>
        <w:t xml:space="preserve">k</w:t>
      </w:r>
      <w:r>
        <w:t xml:space="preserve"> </w:t>
      </w:r>
      <w:r>
        <w:t xml:space="preserve">= 238 here) and is reported as a sensitivity rather than as the primary inference (see §3.7). Full model equations and estimator rationale are provided as</w:t>
      </w:r>
      <w:r>
        <w:t xml:space="preserve"> </w:t>
      </w:r>
      <w:r>
        <w:rPr>
          <w:bCs/>
          <w:b/>
        </w:rPr>
        <w:t xml:space="preserve">Supp-M</w:t>
      </w:r>
      <w:r>
        <w:t xml:space="preserve">.</w:t>
      </w:r>
    </w:p>
    <w:bookmarkEnd w:id="43"/>
    <w:bookmarkStart w:id="44" w:name="X2f1abb1755f8cc5892d8e5725c0dbd361d50806"/>
    <w:p>
      <w:pPr>
        <w:pStyle w:val="Heading3"/>
      </w:pPr>
      <w:r>
        <w:t xml:space="preserve">3.6 Publication Bias Assessment</w:t>
      </w:r>
    </w:p>
    <w:p>
      <w:pPr>
        <w:pStyle w:val="FirstParagraph"/>
      </w:pPr>
      <w:r>
        <w:t xml:space="preserve">Six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(v)</w:t>
      </w:r>
      <w:r>
        <w:t xml:space="preserve"> </w:t>
      </w:r>
      <w:r>
        <w:rPr>
          <w:bCs/>
          <w:b/>
        </w:rPr>
        <w:t xml:space="preserve">PET-PEESE</w:t>
      </w:r>
      <w:r>
        <w:t xml:space="preserve"> </w:t>
      </w:r>
      <w:r>
        <w:t xml:space="preserve">(Stanley &amp; Doucouliagos, 2014), a precision-effect meta-regression that estimates the bias-corrected pooled effect as the intercept of a regression of effect sizes on their standard errors (PET) or sampling variances (PEESE; used when PET indicates a non-zero true effect); and (vi)</w:t>
      </w:r>
      <w:r>
        <w:t xml:space="preserve"> </w:t>
      </w:r>
      <w:r>
        <w:rPr>
          <w:bCs/>
          <w:b/>
        </w:rPr>
        <w:t xml:space="preserve">Vevea-Hedges three-parameter step-function selection model</w:t>
      </w:r>
      <w:r>
        <w:t xml:space="preserve"> </w:t>
      </w:r>
      <w:r>
        <w:t xml:space="preserve">(Vevea &amp; Hedges, 1995; Hedges &amp; Vevea, 1996), a</w:t>
      </w:r>
      <w:r>
        <w:t xml:space="preserve"> </w:t>
      </w:r>
      <w:r>
        <w:rPr>
          <w:iCs/>
          <w:i/>
        </w:rPr>
        <w:t xml:space="preserve">model-based</w:t>
      </w:r>
      <w:r>
        <w:t xml:space="preserve"> </w:t>
      </w:r>
      <w:r>
        <w:t xml:space="preserve">bias correction that estimates the publication-selection function directly via maximum likelihood (one-tailed</w:t>
      </w:r>
      <w:r>
        <w:t xml:space="preserve"> </w:t>
      </w:r>
      <w:r>
        <w:rPr>
          <w:iCs/>
          <w:i/>
        </w:rPr>
        <w:t xml:space="preserve">p</w:t>
      </w:r>
      <w:r>
        <w:t xml:space="preserve">-value cutpoints at .025 and .500) and reports a selection-adjusted pooled effect plus a likelihood-ratio test against the no-selection null. Each test has a distinct failure mode: trim-and-fill is known to over-correct under high heterogeneity (Terrin et al., 2003), PET-PEESE estimates can be biased toward null when</w:t>
      </w:r>
      <w:r>
        <w:t xml:space="preserve"> </w:t>
      </w:r>
      <w:r>
        <w:rPr>
          <w:iCs/>
          <w:i/>
        </w:rPr>
        <w:t xml:space="preserve">I</w:t>
      </w:r>
      <w:r>
        <w:t xml:space="preserve">² &gt; 80% (Stanley &amp; Doucouliagos, 2014), and Vevea-Hedges can fail to converge in sparse-cell selection regions. Reporting all six tests together provides a direction-of-effect signal that is robust to any single test's specification assumptions; we interpret each adjusted estimate as an inferential bound rather than as a point estimate of the true population effect. Test specifications and the metafor</w:t>
      </w:r>
      <w:r>
        <w:t xml:space="preserve"> </w:t>
      </w:r>
      <w:r>
        <w:rPr>
          <w:rStyle w:val="VerbatimChar"/>
        </w:rPr>
        <w:t xml:space="preserve">selmodel</w:t>
      </w:r>
      <w:r>
        <w:t xml:space="preserve"> </w:t>
      </w:r>
      <w:r>
        <w:t xml:space="preserve">implementation are in</w:t>
      </w:r>
      <w:r>
        <w:t xml:space="preserve"> </w:t>
      </w:r>
      <w:r>
        <w:rPr>
          <w:bCs/>
          <w:b/>
        </w:rPr>
        <w:t xml:space="preserve">Supp-M</w:t>
      </w:r>
      <w:r>
        <w:t xml:space="preserve">.</w:t>
      </w:r>
    </w:p>
    <w:bookmarkEnd w:id="44"/>
    <w:bookmarkStart w:id="45" w:name="Xe36430cf7d8e0a8c6df93020e9507d5e203e939"/>
    <w:p>
      <w:pPr>
        <w:pStyle w:val="Heading3"/>
      </w:pPr>
      <w:r>
        <w:t xml:space="preserve">3.7 Robustness Checks</w:t>
      </w:r>
    </w:p>
    <w:p>
      <w:pPr>
        <w:pStyle w:val="FirstParagraph"/>
      </w:pPr>
      <w:r>
        <w:t xml:space="preserve">Six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and (6) cluster-robust standard errors via Robust Variance Estimation (RVE; Hedges, Tipton, &amp; Johnson, 2010) with the CR2 small-sample correction (Tipton, 2015), clustered at the study level using</w:t>
      </w:r>
      <w:r>
        <w:t xml:space="preserve"> </w:t>
      </w:r>
      <w:r>
        <w:rPr>
          <w:rStyle w:val="VerbatimChar"/>
        </w:rPr>
        <w:t xml:space="preserve">clubSandwich</w:t>
      </w:r>
      <w:r>
        <w:t xml:space="preserve"> </w:t>
      </w:r>
      <w:r>
        <w:t xml:space="preserve">(Pustejovsky &amp; Tipton, 2022), reported as a check on the parametric within-study dependence assumption of the primary three-level model. Detailed specifications are provided in</w:t>
      </w:r>
      <w:r>
        <w:t xml:space="preserve"> </w:t>
      </w:r>
      <w:r>
        <w:rPr>
          <w:bCs/>
          <w:b/>
        </w:rPr>
        <w:t xml:space="preserve">Supp-M</w:t>
      </w:r>
      <w:r>
        <w:t xml:space="preserve">.</w:t>
      </w:r>
    </w:p>
    <w:p>
      <w:r>
        <w:pict>
          <v:rect style="width:0;height:1.5pt" o:hralign="center" o:hrstd="t" o:hr="t"/>
        </w:pict>
      </w:r>
    </w:p>
    <w:bookmarkEnd w:id="45"/>
    <w:bookmarkEnd w:id="46"/>
    <w:bookmarkStart w:id="69" w:name="X121719332867ee227f0a04b486098cee978c6e6"/>
    <w:p>
      <w:pPr>
        <w:pStyle w:val="Heading2"/>
      </w:pPr>
      <w:r>
        <w:t xml:space="preserve">4. Results</w:t>
      </w:r>
    </w:p>
    <w:bookmarkStart w:id="50"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1"/>
    <w:bookmarkStart w:id="55" w:name="X58c962719f77434e3e9b87bd1741b5544c6666a"/>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5"/>
    <w:bookmarkStart w:id="56"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We retain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6"/>
    <w:bookmarkStart w:id="60"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60"/>
    <w:bookmarkStart w:id="64"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rPr>
          <w:bCs/>
          <w:b/>
        </w:rPr>
        <w:t xml:space="preserve">PET-PEESE</w:t>
      </w:r>
      <w:r>
        <w:t xml:space="preserve"> </w:t>
      </w:r>
      <w:r>
        <w:t xml:space="preserve">(Stanley &amp; Doucouliagos, 2014; precision-effect meta-regression on the study-aggregated dataset, k = 238): PET intercept (z-scale)</w:t>
      </w:r>
      <w:r>
        <w:t xml:space="preserve"> </w:t>
      </w:r>
      <w:r>
        <w:rPr>
          <w:iCs/>
          <w:i/>
        </w:rPr>
        <w:t xml:space="preserve">b</w:t>
      </w:r>
      <w:r>
        <w:t xml:space="preserve"> </w:t>
      </w:r>
      <w:r>
        <w:t xml:space="preserve">= 0.041 (95% CI [0.009, 0.073],</w:t>
      </w:r>
      <w:r>
        <w:t xml:space="preserve"> </w:t>
      </w:r>
      <w:r>
        <w:rPr>
          <w:iCs/>
          <w:i/>
        </w:rPr>
        <w:t xml:space="preserve">p</w:t>
      </w:r>
      <w:r>
        <w:t xml:space="preserve"> </w:t>
      </w:r>
      <w:r>
        <w:t xml:space="preserve">= .012); because PET indicates a non-zero true effect, the PEESE intercept is reported as the bias-corrected estimate,</w:t>
      </w:r>
      <w:r>
        <w:t xml:space="preserve"> </w:t>
      </w:r>
      <w:r>
        <w:rPr>
          <w:iCs/>
          <w:i/>
        </w:rPr>
        <w:t xml:space="preserve">b</w:t>
      </w:r>
      <w:r>
        <w:t xml:space="preserve"> </w:t>
      </w:r>
      <w:r>
        <w:t xml:space="preserve">= 0.061 (CI [0.042, 0.080]), back-transforming to</w:t>
      </w:r>
      <w:r>
        <w:t xml:space="preserve"> </w:t>
      </w:r>
      <w:r>
        <w:rPr>
          <w:iCs/>
          <w:i/>
        </w:rPr>
        <w:t xml:space="preserve">r</w:t>
      </w:r>
      <w:r>
        <w:t xml:space="preserve"> </w:t>
      </w:r>
      <w:r>
        <w:t xml:space="preserve">= 0.061 (CI [0.042, 0.080]). PET-PEESE thus indicates a milder attenuation than trim-and-fill (raw</w:t>
      </w:r>
      <w:r>
        <w:t xml:space="preserve"> </w:t>
      </w:r>
      <w:r>
        <w:rPr>
          <w:iCs/>
          <w:i/>
        </w:rPr>
        <w:t xml:space="preserve">r</w:t>
      </w:r>
      <w:r>
        <w:t xml:space="preserve"> </w:t>
      </w:r>
      <w:r>
        <w:t xml:space="preserve">= 0.074 → PET-PEESE</w:t>
      </w:r>
      <w:r>
        <w:t xml:space="preserve"> </w:t>
      </w:r>
      <w:r>
        <w:rPr>
          <w:iCs/>
          <w:i/>
        </w:rPr>
        <w:t xml:space="preserve">r</w:t>
      </w:r>
      <w:r>
        <w:t xml:space="preserve"> </w:t>
      </w:r>
      <w:r>
        <w:t xml:space="preserve">= 0.061; ~18% attenuation), consistent with the Stanley–Doucouliagos (2014) note that PET-PEESE estimates can be biased toward null when</w:t>
      </w:r>
      <w:r>
        <w:t xml:space="preserve"> </w:t>
      </w:r>
      <w:r>
        <w:rPr>
          <w:iCs/>
          <w:i/>
        </w:rPr>
        <w:t xml:space="preserve">I</w:t>
      </w:r>
      <w:r>
        <w:t xml:space="preserve">² &gt; 80%; the present</w:t>
      </w:r>
      <w:r>
        <w:t xml:space="preserve"> </w:t>
      </w:r>
      <w:r>
        <w:rPr>
          <w:iCs/>
          <w:i/>
        </w:rPr>
        <w:t xml:space="preserve">I</w:t>
      </w:r>
      <w:r>
        <w:t xml:space="preserve">² = 87.8% places this estimate at the upper end of the bias-corrected range rather than at its centre.</w:t>
      </w:r>
    </w:p>
    <w:p>
      <w:pPr>
        <w:pStyle w:val="BodyText"/>
      </w:pPr>
      <w:r>
        <w:rPr>
          <w:bCs/>
          <w:b/>
        </w:rPr>
        <w:t xml:space="preserve">Vevea-Hedges three-parameter step-function selection model</w:t>
      </w:r>
      <w:r>
        <w:t xml:space="preserve"> </w:t>
      </w:r>
      <w:r>
        <w:t xml:space="preserve">(Vevea &amp; Hedges, 1995; Hedges &amp; Vevea, 1996; one-tailed cutpoints at .025 and .500): the model converges and the likelihood-ratio test against the no-selection null is significant (</w:t>
      </w:r>
      <m:oMath>
        <m:sSup>
          <m:e>
            <m:r>
              <m:t>χ</m:t>
            </m:r>
          </m:e>
          <m:sup>
            <m:r>
              <m:t>2</m:t>
            </m:r>
          </m:sup>
        </m:sSup>
      </m:oMath>
      <w:r>
        <w:t xml:space="preserve"> </w:t>
      </w:r>
      <w:r>
        <w:t xml:space="preserve">= 12.29,</w:t>
      </w:r>
      <w:r>
        <w:t xml:space="preserve"> </w:t>
      </w:r>
      <w:r>
        <w:rPr>
          <w:iCs/>
          <w:i/>
        </w:rPr>
        <w:t xml:space="preserve">df</w:t>
      </w:r>
      <w:r>
        <w:t xml:space="preserve"> </w:t>
      </w:r>
      <w:r>
        <w:t xml:space="preserve">= 2,</w:t>
      </w:r>
      <w:r>
        <w:t xml:space="preserve"> </w:t>
      </w:r>
      <w:r>
        <w:rPr>
          <w:iCs/>
          <w:i/>
        </w:rPr>
        <w:t xml:space="preserve">p</w:t>
      </w:r>
      <w:r>
        <w:t xml:space="preserve"> </w:t>
      </w:r>
      <w:r>
        <w:t xml:space="preserve">= .002), confirming model-based evidence of publication selection. The estimated selection weights are</w:t>
      </w:r>
      <w:r>
        <w:t xml:space="preserve"> </w:t>
      </w:r>
      <w:r>
        <w:rPr>
          <w:iCs/>
          <w:i/>
        </w:rPr>
        <w:t xml:space="preserve">w</w:t>
      </w:r>
      <w:r>
        <w:t xml:space="preserve">[(0, .025]] = 1.000 (reference: one-tailed significant positives) and</w:t>
      </w:r>
      <w:r>
        <w:t xml:space="preserve"> </w:t>
      </w:r>
      <w:r>
        <w:rPr>
          <w:iCs/>
          <w:i/>
        </w:rPr>
        <w:t xml:space="preserve">w</w:t>
      </w:r>
      <w:r>
        <w:t xml:space="preserve">[(.025, .500]] = 1.000 and</w:t>
      </w:r>
      <w:r>
        <w:t xml:space="preserve"> </w:t>
      </w:r>
      <w:r>
        <w:rPr>
          <w:iCs/>
          <w:i/>
        </w:rPr>
        <w:t xml:space="preserve">w</w:t>
      </w:r>
      <w:r>
        <w:t xml:space="preserve">[(.500, 1.0]] = 1.736; the elevated weight on the upper p-value range reflects that one-tailed significant</w:t>
      </w:r>
      <w:r>
        <w:t xml:space="preserve"> </w:t>
      </w:r>
      <w:r>
        <w:rPr>
          <w:iCs/>
          <w:i/>
        </w:rPr>
        <w:t xml:space="preserve">negative</w:t>
      </w:r>
      <w:r>
        <w:t xml:space="preserve"> </w:t>
      </w:r>
      <w:r>
        <w:t xml:space="preserve">results are 1.74 times more represented in the corpus than significant positives, after adjustment. The selection-adjusted pooled effect is</w:t>
      </w:r>
      <w:r>
        <w:t xml:space="preserve"> </w:t>
      </w:r>
      <w:r>
        <w:rPr>
          <w:iCs/>
          <w:i/>
        </w:rPr>
        <w:t xml:space="preserve">r</w:t>
      </w:r>
      <w:r>
        <w:t xml:space="preserve"> </w:t>
      </w:r>
      <w:r>
        <w:t xml:space="preserve">= 0.077 (CI [0.042, 0.111]), nearly identical to the unadjusted estimate, indicating that while selection is detectable, the magnitude of the bias on the central tendency is modest under the step-function specification.</w:t>
      </w:r>
    </w:p>
    <w:p>
      <w:pPr>
        <w:pStyle w:val="BodyText"/>
      </w:pPr>
      <w:r>
        <w:t xml:space="preserve">Read together, the six tests bound the publication-bias attenuation: PET-PEESE places the conservative lower bound near</w:t>
      </w:r>
      <w:r>
        <w:t xml:space="preserve"> </w:t>
      </w:r>
      <w:r>
        <w:rPr>
          <w:iCs/>
          <w:i/>
        </w:rPr>
        <w:t xml:space="preserve">r</w:t>
      </w:r>
      <w:r>
        <w:t xml:space="preserve"> </w:t>
      </w:r>
      <w:r>
        <w:t xml:space="preserve">= 0.061; the Vevea-Hedges model-based selection-adjusted estimate sits at</w:t>
      </w:r>
      <w:r>
        <w:t xml:space="preserve"> </w:t>
      </w:r>
      <w:r>
        <w:rPr>
          <w:iCs/>
          <w:i/>
        </w:rPr>
        <w:t xml:space="preserve">r</w:t>
      </w:r>
      <w:r>
        <w:t xml:space="preserve"> </w:t>
      </w:r>
      <w:r>
        <w:t xml:space="preserve">= 0.077 (with significant evidence of selection); trim-and-fill is the most aggressive correction at</w:t>
      </w:r>
      <w:r>
        <w:t xml:space="preserve"> </w:t>
      </w:r>
      <w:r>
        <w:rPr>
          <w:iCs/>
          <w:i/>
        </w:rPr>
        <w:t xml:space="preserve">r</w:t>
      </w:r>
      <w:r>
        <w:t xml:space="preserve"> </w:t>
      </w:r>
      <w:r>
        <w:t xml:space="preserve">= 0.035. The fact that the model-based correction (Vevea-Hedges) detects significant selection but estimates a smaller magnitude adjustment than the non-parametric correction (trim-and-fill) is consistent with the Terrin et al. (2003) and Stanley–Doucouliagos (2014) cautions that trim-and-fill over-corrects under high heterogeneity. The substantive interpretation is therefore that publication selection is real (Begg</w:t>
      </w:r>
      <w:r>
        <w:t xml:space="preserve"> </w:t>
      </w:r>
      <w:r>
        <w:rPr>
          <w:iCs/>
          <w:i/>
        </w:rPr>
        <w:t xml:space="preserve">p</w:t>
      </w:r>
      <w:r>
        <w:t xml:space="preserve"> </w:t>
      </w:r>
      <w:r>
        <w:t xml:space="preserve">&lt; .001; Vevea-Hedges LRT</w:t>
      </w:r>
      <w:r>
        <w:t xml:space="preserve"> </w:t>
      </w:r>
      <w:r>
        <w:rPr>
          <w:iCs/>
          <w:i/>
        </w:rPr>
        <w:t xml:space="preserve">p</w:t>
      </w:r>
      <w:r>
        <w:t xml:space="preserve"> </w:t>
      </w:r>
      <w:r>
        <w:t xml:space="preserve">= .002) and that the true population effect lies in the interval bounded by these estimates —</w:t>
      </w:r>
      <w:r>
        <w:t xml:space="preserve"> </w:t>
      </w:r>
      <w:r>
        <w:rPr>
          <w:iCs/>
          <w:i/>
        </w:rPr>
        <w:t xml:space="preserve">r</w:t>
      </w:r>
      <w:r>
        <w:t xml:space="preserve"> </w:t>
      </w:r>
      <w:r>
        <w:t xml:space="preserve">between approximately 0.035 and 0.077 — with the magnitude of the inflation depending on which selection-process assumption one adopts. The headline reading of a substantially upward-biased published average effect survives across all six tests; only the precise magnitude of the bias correction is method-dependent.</w:t>
      </w:r>
    </w:p>
    <w:p>
      <w:pPr>
        <w:pStyle w:val="BodyText"/>
      </w:pPr>
      <w:r>
        <w:drawing>
          <wp:inline>
            <wp:extent cx="5753100" cy="4601444"/>
            <wp:effectExtent b="0" l="0" r="0" t="0"/>
            <wp:docPr descr="Figure 4: Funnel plot with trim-and-fill imputed studies"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4"/>
    <w:bookmarkStart w:id="68"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8"/>
    <w:bookmarkEnd w:id="69"/>
    <w:bookmarkStart w:id="74" w:name="X735612638e4e736e4693e459c258977262c0dfc"/>
    <w:p>
      <w:pPr>
        <w:pStyle w:val="Heading2"/>
      </w:pPr>
      <w:r>
        <w:t xml:space="preserve">5. Discussion</w:t>
      </w:r>
    </w:p>
    <w:bookmarkStart w:id="70"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(Do &amp; Phan, 2025) on 380 Indian WBES firms documents a negative aggregate DOI coefficient with manager experience and female top-management leadership as positive moderating factors, a pattern consistent with the firm-level-compensating-resources interpretation discussed in §5.2; we note this overlap to flag, rather than conceal, the link to our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70"/>
    <w:bookmarkStart w:id="71" w:name="X688563909f8febb75275ad832e560c448093230"/>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our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 that macro digital context is inert without firm-level digital capability to translate it —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 .048],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 .001) and Egger's</w:t>
      </w:r>
      <w:r>
        <w:t xml:space="preserve"> </w:t>
      </w:r>
      <w:r>
        <w:rPr>
          <w:iCs/>
          <w:i/>
        </w:rPr>
        <w:t xml:space="preserve">p</w:t>
      </w:r>
      <w:r>
        <w:t xml:space="preserve"> </w:t>
      </w:r>
      <w:r>
        <w:t xml:space="preserve">= .057 is borderline. Because trim-and-fill is known to over-correct under high heterogeneity (</w:t>
      </w:r>
      <w:r>
        <w:rPr>
          <w:iCs/>
          <w:i/>
        </w:rPr>
        <w:t xml:space="preserve">I</w:t>
      </w:r>
      <w:r>
        <w:t xml:space="preserve">² = 87.8% here), we interpret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 .035, below Cohen's small-effect floor of .10)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 .035 rather than</w:t>
      </w:r>
      <w:r>
        <w:t xml:space="preserve"> </w:t>
      </w:r>
      <w:r>
        <w:rPr>
          <w:iCs/>
          <w:i/>
        </w:rPr>
        <w:t xml:space="preserve">r</w:t>
      </w:r>
      <w:r>
        <w:t xml:space="preserve"> </w:t>
      </w:r>
      <w:r>
        <w:t xml:space="preserve">≈ .07–.10,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We intend this paper to register the paradox; resolving it is a research-programme commitment beyond a single article.</w:t>
      </w:r>
    </w:p>
    <w:bookmarkEnd w:id="71"/>
    <w:bookmarkStart w:id="72" w:name="Xb1fcf2c8d5f0b973be8539a5c4cf4005bf85f3d"/>
    <w:p>
      <w:pPr>
        <w:pStyle w:val="Heading3"/>
      </w:pPr>
      <w:r>
        <w:t xml:space="preserve">5.3 Managerial and Policy Implications</w:t>
      </w:r>
    </w:p>
    <w:p>
      <w:pPr>
        <w:pStyle w:val="FirstParagraph"/>
      </w:pPr>
      <w:r>
        <w:t xml:space="preserve">Three implications follow within the constraints set by §5.2's paradox. Because the bias-corrected effect (</w:t>
      </w:r>
      <w:r>
        <w:rPr>
          <w:iCs/>
          <w:i/>
        </w:rPr>
        <w:t xml:space="preserve">r</w:t>
      </w:r>
      <w:r>
        <w:t xml:space="preserve"> </w:t>
      </w:r>
      <w:r>
        <w:t xml:space="preserve">≈ .035) sits below Cohen's small-effect floor and our moderators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2"/>
    <w:bookmarkStart w:id="73"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3"/>
    <w:bookmarkEnd w:id="74"/>
    <w:bookmarkStart w:id="75"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 .035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§5.4 for the full inferential-bound argument).</w:t>
      </w:r>
    </w:p>
    <w:p>
      <w:r>
        <w:pict>
          <v:rect style="width:0;height:1.5pt" o:hralign="center" o:hrstd="t" o:hr="t"/>
        </w:pict>
      </w:r>
    </w:p>
    <w:bookmarkEnd w:id="75"/>
    <w:bookmarkStart w:id="7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6"/>
    <w:bookmarkStart w:id="77" w:name="competing-interests"/>
    <w:p>
      <w:pPr>
        <w:pStyle w:val="Heading2"/>
      </w:pPr>
      <w:r>
        <w:t xml:space="preserve">Competing Interests</w:t>
      </w:r>
    </w:p>
    <w:p>
      <w:pPr>
        <w:pStyle w:val="FirstParagraph"/>
      </w:pPr>
      <w:r>
        <w:t xml:space="preserve">The authors declare no conflict of interest.</w:t>
      </w:r>
    </w:p>
    <w:bookmarkEnd w:id="77"/>
    <w:bookmarkStart w:id="78"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8"/>
    <w:bookmarkStart w:id="90"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8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Hedges, L. V., Tipton, E., &amp; Johnson, M. C. (2010). Robust variance estimation in meta-regression with dependent effect size estimates.</w:t>
      </w:r>
      <w:r>
        <w:t xml:space="preserve"> </w:t>
      </w:r>
      <w:r>
        <w:rPr>
          <w:iCs/>
          <w:i/>
        </w:rPr>
        <w:t xml:space="preserve">Research Synthesis Methods, 1</w:t>
      </w:r>
      <w:r>
        <w:t xml:space="preserve">(1), 39–65.</w:t>
      </w:r>
      <w:r>
        <w:t xml:space="preserve"> </w:t>
      </w:r>
      <w:hyperlink r:id="rId81">
        <w:r>
          <w:rPr>
            <w:rStyle w:val="Hyperlink"/>
          </w:rPr>
          <w:t xml:space="preserve">https://doi.org/10.1002/jrsm.5</w:t>
        </w:r>
      </w:hyperlink>
    </w:p>
    <w:p>
      <w:pPr>
        <w:pStyle w:val="BodyText"/>
      </w:pPr>
      <w:r>
        <w:t xml:space="preserve">Hedges, L. V., &amp; Vevea, J. L. (1996). Estimating effect size under publication bias: Small sample properties and robustness of a random effects selection model.</w:t>
      </w:r>
      <w:r>
        <w:t xml:space="preserve"> </w:t>
      </w:r>
      <w:r>
        <w:rPr>
          <w:iCs/>
          <w:i/>
        </w:rPr>
        <w:t xml:space="preserve">Journal of Educational and Behavioral Statistics, 21</w:t>
      </w:r>
      <w:r>
        <w:t xml:space="preserve">(4), 299–332.</w:t>
      </w:r>
      <w:r>
        <w:t xml:space="preserve"> </w:t>
      </w:r>
      <w:hyperlink r:id="rId82">
        <w:r>
          <w:rPr>
            <w:rStyle w:val="Hyperlink"/>
          </w:rPr>
          <w:t xml:space="preserve">https://doi.org/10.3102/10769986021004299</w:t>
        </w:r>
      </w:hyperlink>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3">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4">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Pustejovsky, J. E., &amp; Tipton, E. (2022). Meta-analysis with robust variance estimation: Expanding the range of working models.</w:t>
      </w:r>
      <w:r>
        <w:t xml:space="preserve"> </w:t>
      </w:r>
      <w:r>
        <w:rPr>
          <w:iCs/>
          <w:i/>
        </w:rPr>
        <w:t xml:space="preserve">Prevention Science, 23</w:t>
      </w:r>
      <w:r>
        <w:t xml:space="preserve">(3), 425–438.</w:t>
      </w:r>
      <w:r>
        <w:t xml:space="preserve"> </w:t>
      </w:r>
      <w:hyperlink r:id="rId85">
        <w:r>
          <w:rPr>
            <w:rStyle w:val="Hyperlink"/>
          </w:rPr>
          <w:t xml:space="preserve">https://doi.org/10.1007/s11121-021-01246-3</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Terrin, N., Schmid, C. H., Lau, J., &amp; Olkin, I. (2003). Adjusting for publication bias in the presence of heterogeneity.</w:t>
      </w:r>
      <w:r>
        <w:t xml:space="preserve"> </w:t>
      </w:r>
      <w:r>
        <w:rPr>
          <w:iCs/>
          <w:i/>
        </w:rPr>
        <w:t xml:space="preserve">Statistics in Medicine, 22</w:t>
      </w:r>
      <w:r>
        <w:t xml:space="preserve">(13), 2113–2126.</w:t>
      </w:r>
      <w:r>
        <w:t xml:space="preserve"> </w:t>
      </w:r>
      <w:hyperlink r:id="rId86">
        <w:r>
          <w:rPr>
            <w:rStyle w:val="Hyperlink"/>
          </w:rPr>
          <w:t xml:space="preserve">https://doi.org/10.1002/sim.1461</w:t>
        </w:r>
      </w:hyperlink>
    </w:p>
    <w:p>
      <w:pPr>
        <w:pStyle w:val="BodyText"/>
      </w:pPr>
      <w:r>
        <w:t xml:space="preserve">Tipton, E. (2015). Small sample adjustments for robust variance estimation with meta-regression.</w:t>
      </w:r>
      <w:r>
        <w:t xml:space="preserve"> </w:t>
      </w:r>
      <w:r>
        <w:rPr>
          <w:iCs/>
          <w:i/>
        </w:rPr>
        <w:t xml:space="preserve">Psychological Methods, 20</w:t>
      </w:r>
      <w:r>
        <w:t xml:space="preserve">(3), 375–393.</w:t>
      </w:r>
      <w:r>
        <w:t xml:space="preserve"> </w:t>
      </w:r>
      <w:hyperlink r:id="rId87">
        <w:r>
          <w:rPr>
            <w:rStyle w:val="Hyperlink"/>
          </w:rPr>
          <w:t xml:space="preserve">https://doi.org/10.1037/met0000011</w:t>
        </w:r>
      </w:hyperlink>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Hedges, L. V. (1995). A general linear model for estimating effect size in the presence of publication bias.</w:t>
      </w:r>
      <w:r>
        <w:t xml:space="preserve"> </w:t>
      </w:r>
      <w:r>
        <w:rPr>
          <w:iCs/>
          <w:i/>
        </w:rPr>
        <w:t xml:space="preserve">Psychometrika, 60</w:t>
      </w:r>
      <w:r>
        <w:t xml:space="preserve">(3), 419–435.</w:t>
      </w:r>
      <w:r>
        <w:t xml:space="preserve"> </w:t>
      </w:r>
      <w:hyperlink r:id="rId88">
        <w:r>
          <w:rPr>
            <w:rStyle w:val="Hyperlink"/>
          </w:rPr>
          <w:t xml:space="preserve">https://doi.org/10.1007/BF02294384</w:t>
        </w:r>
      </w:hyperlink>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90"/>
    <w:bookmarkStart w:id="91"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(§5.2), construct-validity restriction of cDAI (§4.4), drop-Frontier-led ICRV framing (§4.3), and a fifth disclosed pre-registration deviation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91"/>
    <w:bookmarkEnd w:id="9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1" Target="https://doi.org/10.1002/jrsm.5" TargetMode="External" /><Relationship Type="http://schemas.openxmlformats.org/officeDocument/2006/relationships/hyperlink" Id="rId86" Target="https://doi.org/10.1002/sim.1461" TargetMode="External" /><Relationship Type="http://schemas.openxmlformats.org/officeDocument/2006/relationships/hyperlink" Id="rId88" Target="https://doi.org/10.1007/BF02294384" TargetMode="External" /><Relationship Type="http://schemas.openxmlformats.org/officeDocument/2006/relationships/hyperlink" Id="rId85" Target="https://doi.org/10.1007/s11121-021-01246-3" TargetMode="External" /><Relationship Type="http://schemas.openxmlformats.org/officeDocument/2006/relationships/hyperlink" Id="rId87" Target="https://doi.org/10.1037/met0000011" TargetMode="External" /><Relationship Type="http://schemas.openxmlformats.org/officeDocument/2006/relationships/hyperlink" Id="rId84" Target="https://doi.org/10.1136/bmj.n71" TargetMode="External" /><Relationship Type="http://schemas.openxmlformats.org/officeDocument/2006/relationships/hyperlink" Id="rId82" Target="https://doi.org/10.3102/10769986021004299" TargetMode="External" /><Relationship Type="http://schemas.openxmlformats.org/officeDocument/2006/relationships/hyperlink" Id="rId83"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9"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1" Target="https://doi.org/10.1002/jrsm.5" TargetMode="External" /><Relationship Type="http://schemas.openxmlformats.org/officeDocument/2006/relationships/hyperlink" Id="rId86" Target="https://doi.org/10.1002/sim.1461" TargetMode="External" /><Relationship Type="http://schemas.openxmlformats.org/officeDocument/2006/relationships/hyperlink" Id="rId88" Target="https://doi.org/10.1007/BF02294384" TargetMode="External" /><Relationship Type="http://schemas.openxmlformats.org/officeDocument/2006/relationships/hyperlink" Id="rId85" Target="https://doi.org/10.1007/s11121-021-01246-3" TargetMode="External" /><Relationship Type="http://schemas.openxmlformats.org/officeDocument/2006/relationships/hyperlink" Id="rId87" Target="https://doi.org/10.1037/met0000011" TargetMode="External" /><Relationship Type="http://schemas.openxmlformats.org/officeDocument/2006/relationships/hyperlink" Id="rId84" Target="https://doi.org/10.1136/bmj.n71" TargetMode="External" /><Relationship Type="http://schemas.openxmlformats.org/officeDocument/2006/relationships/hyperlink" Id="rId82" Target="https://doi.org/10.3102/10769986021004299" TargetMode="External" /><Relationship Type="http://schemas.openxmlformats.org/officeDocument/2006/relationships/hyperlink" Id="rId83"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9"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2026-05-31T08:19:32Z</dcterms:created>
  <dcterms:modified xsi:type="dcterms:W3CDTF">2026-05-31T08:19:32Z</dcterms:modified>
</cp:coreProperties>
</file>

<file path=docProps/custom.xml><?xml version="1.0" encoding="utf-8"?>
<Properties xmlns="http://schemas.openxmlformats.org/officeDocument/2006/custom-properties" xmlns:vt="http://schemas.openxmlformats.org/officeDocument/2006/docPropsVTypes"/>
</file>