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liệu mối quan hệ hình chữ U ngược giữa cường độ xuất khẩu (Foreign Sales to Total Sales, FSTS) và hiệu quả doanh nghiệp tư nhân Trung Quốc là bền vững về cấu trúc hay đặc thù theo đợt khảo sát, đồng thời kiểm định vai trò của Chỉ số năng lực công nghệ (Technological Capability Index, TCI_full) trong việc định hình mối quan hệ này qua một thập kỷ thay đổi cấu trúc.</w:t>
      </w:r>
    </w:p>
    <w:p>
      <w:pPr>
        <w:pStyle w:val="BodyText"/>
      </w:pPr>
      <w:r>
        <w:rPr>
          <w:bCs/>
          <w:b/>
        </w:rPr>
        <w:t xml:space="preserve">Thiết kế/Phương pháp/Cách tiếp cận</w:t>
      </w:r>
      <w:r>
        <w:t xml:space="preserve">, Dữ liệu vi mô Khảo sát Doanh nghiệp Ngân hàng Thế giới (World Bank Enterprise Survey,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Các điểm ngưỡng nằm trong một khoảng rất chặt (49, 4% năm 2012, 47, 2% năm 2024, 48, 8% mẫu gộp) với khoảng tin cậy 95% chồng lấn. Kiểm định Paternoster (1998) không bác bỏ sự bằng nhau của hệ số xuyên đợt (FSTS z = +0, 82, p =, 412; FSTS² z = −0, 61, p =, 545), ủng hộ H2b (độ bền cấu trúc, structural durability) thay vì H2a (dịch chuyển môi trường, environmental shift). Chỉ số năng lực công nghệ liên quan vững chắc với năng suất ở cả hai đợt (β_z = +0, 28 năm 2012, +0, 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 4%) và 2024 (điểm ngưỡng 47, 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 82, p =, 412; FSTS² z = −0, 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 28 năm 2012 và +0, 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dữ liệu bảng bao phủ một thập kỷ thay đổi cấu trúc,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vì các cú sốc cấu trúc như ma sát thương mại, tái định hướng Sáng kiến Vành đai và Con đường, và COVID-19 làm thay đổi phép tính chi phí-lợi ích của quốc tế hóa (Hitt et al., 1997; Xiao et al., 2013),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vì sức căng cơ bản giữa lợi ích học hỏi qua xuất khẩu và leo thang chi phí phối hợp gắn với các ràng buộc nguồn lực ở cấp doanh nghiệp thay vì với môi trường vĩ mô (Bausch và Krist, 2007; Marano et al., 2016),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vì các năng lực nội tại vượt trội giảm thiểu chi phí phối hợp thường cắt giảm lợi tức ở mức cường độ xuất khẩu trung bình (Teece, 2007; Lall, 1992),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vì năng lực có thể mở rộng hoặc giảm nhẹ lợi tức học hỏi qua xuất khẩu tùy thuộc vào mức năng lực hấp thụ của từng doanh nghiệp (Lall, 1992; Avenyo et al., 2021),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vì năng lực vận hành chủ yếu như một dịch chuyển mức nền của năng suất thay vì như một điều tiết độ cong (Avenyo et al., 2021),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WBES 2024 ưu tiên SME chế tạo tư nhân,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 4% ở 2012, 47, 2% ở 2024, 48, 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 6%). Ngược lại, xóa danh sách bao gồm kiểm soát dùng trong các mô hình hồi quy (sample_base: bổ sung yêu cầu lnEmp, firmage, foreigndummy không khuyết) giảm đợt 2024 xuống 1.934 quan sát và mẫu gộp xuống 4.544. Ước lượng điểm ngưỡng (47, 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OLS) với sai số chuẩn vững Eicker–Huber–White (HC1) (MacKinnon và White, 1985) trong đặc tả gộp. Hai đợt khảo sát WBES Trung Quốc là các mặt cắt ngang lặp lại độc lập, không phải một bộ dữ liệu bảng cấp doanh nghiệp được ghép nối: cơ chế ẩn danh của WBES không cho phép liên kết từng doanh nghiệp giữa hai đợt 2012 và 2024 (xem Mục 5.4). Các so sánh xuyên đợt dựa trên kiểm định bằng nhau hệ số Paternoster thay vì biến thiên trong doanh nghiệp.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độ dốc dương có ý nghĩa ở biên trái (FSTS = 0) và độ dốc âm có ý nghĩa ở biên phải (FSTS = 1),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 52 (ĐLC 1, 19) và cường độ xuất khẩu trung bình 5, 2%, với 19, 4% doanh nghiệp báo cáo cường độ xuất khẩu trực tiếp dương. Đợt 2024 (N = 1.934) cho thấy năng suất lao động log trung bình 13, 01 (ĐLC 1, 35), dịch chuyển mức lên 0, 49 đơn vị log, và cường độ xuất khẩu trung bình 3, 6%, với 12, 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log</w:t>
            </w:r>
          </w:p>
        </w:tc>
        <w:tc>
          <w:tcPr/>
          <w:p>
            <w:pPr>
              <w:pStyle w:val="Compact"/>
              <w:jc w:val="left"/>
            </w:pPr>
            <w:r>
              <w:t xml:space="preserve">12, 52 (1, 19)</w:t>
            </w:r>
          </w:p>
        </w:tc>
        <w:tc>
          <w:tcPr/>
          <w:p>
            <w:pPr>
              <w:pStyle w:val="Compact"/>
              <w:jc w:val="left"/>
            </w:pPr>
            <w:r>
              <w:t xml:space="preserve">13, 01 (1, 35)</w:t>
            </w:r>
          </w:p>
        </w:tc>
      </w:tr>
      <w:tr>
        <w:tc>
          <w:tcPr/>
          <w:p>
            <w:pPr>
              <w:pStyle w:val="Compact"/>
              <w:jc w:val="left"/>
            </w:pPr>
            <w:r>
              <w:t xml:space="preserve">FSTS, cường độ xuất khẩu</w:t>
            </w:r>
          </w:p>
        </w:tc>
        <w:tc>
          <w:tcPr/>
          <w:p>
            <w:pPr>
              <w:pStyle w:val="Compact"/>
              <w:jc w:val="left"/>
            </w:pPr>
            <w:r>
              <w:t xml:space="preserve">0, 052 (0, 143)</w:t>
            </w:r>
          </w:p>
        </w:tc>
        <w:tc>
          <w:tcPr/>
          <w:p>
            <w:pPr>
              <w:pStyle w:val="Compact"/>
              <w:jc w:val="left"/>
            </w:pPr>
            <w:r>
              <w:t xml:space="preserve">0, 036 (0, 119)</w:t>
            </w:r>
          </w:p>
        </w:tc>
      </w:tr>
      <w:tr>
        <w:tc>
          <w:tcPr/>
          <w:p>
            <w:pPr>
              <w:pStyle w:val="Compact"/>
              <w:jc w:val="left"/>
            </w:pPr>
            <w:r>
              <w:t xml:space="preserve">FSTS &gt; 0 (bất kỳ nhà xuất khẩu)</w:t>
            </w:r>
          </w:p>
        </w:tc>
        <w:tc>
          <w:tcPr/>
          <w:p>
            <w:pPr>
              <w:pStyle w:val="Compact"/>
              <w:jc w:val="left"/>
            </w:pPr>
            <w:r>
              <w:t xml:space="preserve">19, 4%</w:t>
            </w:r>
          </w:p>
        </w:tc>
        <w:tc>
          <w:tcPr/>
          <w:p>
            <w:pPr>
              <w:pStyle w:val="Compact"/>
              <w:jc w:val="left"/>
            </w:pPr>
            <w:r>
              <w:t xml:space="preserve">12, 4%</w:t>
            </w:r>
          </w:p>
        </w:tc>
      </w:tr>
      <w:tr>
        <w:tc>
          <w:tcPr/>
          <w:p>
            <w:pPr>
              <w:pStyle w:val="Compact"/>
              <w:jc w:val="left"/>
            </w:pPr>
            <w:r>
              <w:t xml:space="preserve">lnEmp, log số lao động</w:t>
            </w:r>
          </w:p>
        </w:tc>
        <w:tc>
          <w:tcPr/>
          <w:p>
            <w:pPr>
              <w:pStyle w:val="Compact"/>
              <w:jc w:val="left"/>
            </w:pPr>
            <w:r>
              <w:t xml:space="preserve">4, 19 (1, 14)</w:t>
            </w:r>
          </w:p>
        </w:tc>
        <w:tc>
          <w:tcPr/>
          <w:p>
            <w:pPr>
              <w:pStyle w:val="Compact"/>
              <w:jc w:val="left"/>
            </w:pPr>
            <w:r>
              <w:t xml:space="preserve">3, 95 (1, 06)</w:t>
            </w:r>
          </w:p>
        </w:tc>
      </w:tr>
      <w:tr>
        <w:tc>
          <w:tcPr/>
          <w:p>
            <w:pPr>
              <w:pStyle w:val="Compact"/>
              <w:jc w:val="left"/>
            </w:pPr>
            <w:r>
              <w:t xml:space="preserve">Tuổi doanh nghiệp (năm)</w:t>
            </w:r>
          </w:p>
        </w:tc>
        <w:tc>
          <w:tcPr/>
          <w:p>
            <w:pPr>
              <w:pStyle w:val="Compact"/>
              <w:jc w:val="left"/>
            </w:pPr>
            <w:r>
              <w:t xml:space="preserve">11, 8 (8, 4)</w:t>
            </w:r>
          </w:p>
        </w:tc>
        <w:tc>
          <w:tcPr/>
          <w:p>
            <w:pPr>
              <w:pStyle w:val="Compact"/>
              <w:jc w:val="left"/>
            </w:pPr>
            <w:r>
              <w:t xml:space="preserve">16, 1 (9, 2)</w:t>
            </w:r>
          </w:p>
        </w:tc>
      </w:tr>
      <w:tr>
        <w:tc>
          <w:tcPr/>
          <w:p>
            <w:pPr>
              <w:pStyle w:val="Compact"/>
              <w:jc w:val="left"/>
            </w:pPr>
            <w:r>
              <w:t xml:space="preserve">Sở hữu nước ngoài &gt; 10%</w:t>
            </w:r>
          </w:p>
        </w:tc>
        <w:tc>
          <w:tcPr/>
          <w:p>
            <w:pPr>
              <w:pStyle w:val="Compact"/>
              <w:jc w:val="left"/>
            </w:pPr>
            <w:r>
              <w:t xml:space="preserve">5, 8%</w:t>
            </w:r>
          </w:p>
        </w:tc>
        <w:tc>
          <w:tcPr/>
          <w:p>
            <w:pPr>
              <w:pStyle w:val="Compact"/>
              <w:jc w:val="left"/>
            </w:pPr>
            <w:r>
              <w:t xml:space="preserve">3, 7%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 269 ở 2012 và 0, 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 28, SE = 0, 38, p =, 001; 2024: β = +1, 19, SE = 0, 46, p =, 010), và FSTS² mang hệ số âm ở cả hai đợt (2012: β = −1, 53, SE = 0, 42, p &lt;, 001; 2024: β = −1, 58, SE = 0, 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 28 (p =, 001), xác nhận sườn đi lên dương; (C2) β₂ = −1, 53 (p &lt;, 001), xác nhận tính lõm; (C3) điểm ngưỡng TP* = 49, 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 19, β₂ = −1, 58, TP* = 47, 2%, LM p &lt;, 001) và đặc tả gộp.</w:t>
      </w:r>
    </w:p>
    <w:p>
      <w:pPr>
        <w:pStyle w:val="BodyText"/>
      </w:pPr>
      <w:r>
        <w:t xml:space="preserve">Ước lượng điểm ngưỡng là 49, 4% (KTC 95%: 43, 1–55, 7%) ở 2012 và 47, 2% (KTC 95%: 40, 8–53, 6%) ở 2024. Các KTC chồng lấn đáng kể, nhất quán với ổn định theo thời gian. Sự bằng nhau của hệ số FSTS xuyên đợt không bị bác bỏ (Paternoster z = +0, 82, p =, 412), tương tự cho FSTS² (z = −0, 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 82, p =, 412) và FSTS² (dịch chuyển β₂: z = −0, 61, p =, 545) nhất quán với H2b (độ bền cấu trúc) thay vì H2a (dịch chuyển môi trường), cho thấy cả hệ số tuyến tính lẫn bậc hai đều không khác biệt có ý nghĩa giữa các đợt ở mức 0, 05.</w:t>
      </w:r>
    </w:p>
    <w:p>
      <w:pPr>
        <w:pStyle w:val="BodyText"/>
      </w:pPr>
      <w:r>
        <w:t xml:space="preserve">Mô hình gộp (N = 4.544) cho FSTS β = +1, 24 (p &lt;, 001) và FSTS² β = −1, 55 (p &lt;, 001), với điểm ngưỡng ở 48, 8% (KTC 95%: 44, 2–53, 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 79 (0, 090) ***</w:t>
            </w:r>
          </w:p>
        </w:tc>
        <w:tc>
          <w:tcPr/>
          <w:p>
            <w:pPr>
              <w:pStyle w:val="Compact"/>
              <w:jc w:val="left"/>
            </w:pPr>
            <w:r>
              <w:t xml:space="preserve">+12, 38 (0, 084) ***</w:t>
            </w:r>
          </w:p>
        </w:tc>
        <w:tc>
          <w:tcPr/>
          <w:p>
            <w:pPr>
              <w:pStyle w:val="Compact"/>
              <w:jc w:val="left"/>
            </w:pPr>
            <w:r>
              <w:t xml:space="preserve">+12, 58 (0, 067) ***</w:t>
            </w:r>
          </w:p>
        </w:tc>
      </w:tr>
      <w:tr>
        <w:tc>
          <w:tcPr/>
          <w:p>
            <w:pPr>
              <w:pStyle w:val="Compact"/>
              <w:jc w:val="left"/>
            </w:pPr>
            <w:r>
              <w:t xml:space="preserve">FSTS</w:t>
            </w:r>
          </w:p>
        </w:tc>
        <w:tc>
          <w:tcPr/>
          <w:p>
            <w:pPr>
              <w:pStyle w:val="Compact"/>
              <w:jc w:val="left"/>
            </w:pPr>
            <w:r>
              <w:t xml:space="preserve">+1, 28 (0, 379) ***</w:t>
            </w:r>
          </w:p>
        </w:tc>
        <w:tc>
          <w:tcPr/>
          <w:p>
            <w:pPr>
              <w:pStyle w:val="Compact"/>
              <w:jc w:val="left"/>
            </w:pPr>
            <w:r>
              <w:t xml:space="preserve">+1, 19 (0, 461) **</w:t>
            </w:r>
          </w:p>
        </w:tc>
        <w:tc>
          <w:tcPr/>
          <w:p>
            <w:pPr>
              <w:pStyle w:val="Compact"/>
              <w:jc w:val="left"/>
            </w:pPr>
            <w:r>
              <w:t xml:space="preserve">+1, 24 (0, 290) ***</w:t>
            </w:r>
          </w:p>
        </w:tc>
      </w:tr>
      <w:tr>
        <w:tc>
          <w:tcPr/>
          <w:p>
            <w:pPr>
              <w:pStyle w:val="Compact"/>
              <w:jc w:val="left"/>
            </w:pPr>
            <w:r>
              <w:t xml:space="preserve">FSTS²</w:t>
            </w:r>
          </w:p>
        </w:tc>
        <w:tc>
          <w:tcPr/>
          <w:p>
            <w:pPr>
              <w:pStyle w:val="Compact"/>
              <w:jc w:val="left"/>
            </w:pPr>
            <w:r>
              <w:t xml:space="preserve">−1, 53 (0, 420) ***</w:t>
            </w:r>
          </w:p>
        </w:tc>
        <w:tc>
          <w:tcPr/>
          <w:p>
            <w:pPr>
              <w:pStyle w:val="Compact"/>
              <w:jc w:val="left"/>
            </w:pPr>
            <w:r>
              <w:t xml:space="preserve">−1, 58 (0, 503) ***</w:t>
            </w:r>
          </w:p>
        </w:tc>
        <w:tc>
          <w:tcPr/>
          <w:p>
            <w:pPr>
              <w:pStyle w:val="Compact"/>
              <w:jc w:val="left"/>
            </w:pPr>
            <w:r>
              <w:t xml:space="preserve">−1, 55 (0, 330) ***</w:t>
            </w:r>
          </w:p>
        </w:tc>
      </w:tr>
      <w:tr>
        <w:tc>
          <w:tcPr/>
          <w:p>
            <w:pPr>
              <w:pStyle w:val="Compact"/>
              <w:jc w:val="left"/>
            </w:pPr>
            <w:r>
              <w:t xml:space="preserve">lnEmp</w:t>
            </w:r>
          </w:p>
        </w:tc>
        <w:tc>
          <w:tcPr/>
          <w:p>
            <w:pPr>
              <w:pStyle w:val="Compact"/>
              <w:jc w:val="left"/>
            </w:pPr>
            <w:r>
              <w:t xml:space="preserve">+0, 31 (0, 025) ***</w:t>
            </w:r>
          </w:p>
        </w:tc>
        <w:tc>
          <w:tcPr/>
          <w:p>
            <w:pPr>
              <w:pStyle w:val="Compact"/>
              <w:jc w:val="left"/>
            </w:pPr>
            <w:r>
              <w:t xml:space="preserve">+0, 39 (0, 031) ***</w:t>
            </w:r>
          </w:p>
        </w:tc>
        <w:tc>
          <w:tcPr/>
          <w:p>
            <w:pPr>
              <w:pStyle w:val="Compact"/>
              <w:jc w:val="left"/>
            </w:pPr>
            <w:r>
              <w:t xml:space="preserve">+0, 35 (0, 019) ***</w:t>
            </w:r>
          </w:p>
        </w:tc>
      </w:tr>
      <w:tr>
        <w:tc>
          <w:tcPr/>
          <w:p>
            <w:pPr>
              <w:pStyle w:val="Compact"/>
              <w:jc w:val="left"/>
            </w:pPr>
            <w:r>
              <w:t xml:space="preserve">firmage</w:t>
            </w:r>
          </w:p>
        </w:tc>
        <w:tc>
          <w:tcPr/>
          <w:p>
            <w:pPr>
              <w:pStyle w:val="Compact"/>
              <w:jc w:val="left"/>
            </w:pPr>
            <w:r>
              <w:t xml:space="preserve">+0, 007 (0, 003) *</w:t>
            </w:r>
          </w:p>
        </w:tc>
        <w:tc>
          <w:tcPr/>
          <w:p>
            <w:pPr>
              <w:pStyle w:val="Compact"/>
              <w:jc w:val="left"/>
            </w:pPr>
            <w:r>
              <w:t xml:space="preserve">+0, 010 (0, 003) ***</w:t>
            </w:r>
          </w:p>
        </w:tc>
        <w:tc>
          <w:tcPr/>
          <w:p>
            <w:pPr>
              <w:pStyle w:val="Compact"/>
              <w:jc w:val="left"/>
            </w:pPr>
            <w:r>
              <w:t xml:space="preserve">+0, 009 (0, 002) ***</w:t>
            </w:r>
          </w:p>
        </w:tc>
      </w:tr>
      <w:tr>
        <w:tc>
          <w:tcPr/>
          <w:p>
            <w:pPr>
              <w:pStyle w:val="Compact"/>
              <w:jc w:val="left"/>
            </w:pPr>
            <w:r>
              <w:t xml:space="preserve">foreigndummy</w:t>
            </w:r>
          </w:p>
        </w:tc>
        <w:tc>
          <w:tcPr/>
          <w:p>
            <w:pPr>
              <w:pStyle w:val="Compact"/>
              <w:jc w:val="left"/>
            </w:pPr>
            <w:r>
              <w:t xml:space="preserve">+0, 24 (0, 109) **</w:t>
            </w:r>
          </w:p>
        </w:tc>
        <w:tc>
          <w:tcPr/>
          <w:p>
            <w:pPr>
              <w:pStyle w:val="Compact"/>
              <w:jc w:val="left"/>
            </w:pPr>
            <w:r>
              <w:t xml:space="preserve">+0, 18 (0, 147)</w:t>
            </w:r>
          </w:p>
        </w:tc>
        <w:tc>
          <w:tcPr/>
          <w:p>
            <w:pPr>
              <w:pStyle w:val="Compact"/>
              <w:jc w:val="left"/>
            </w:pPr>
            <w:r>
              <w:t xml:space="preserve">+0, 21 (0, 086) **</w:t>
            </w:r>
          </w:p>
        </w:tc>
      </w:tr>
      <w:tr>
        <w:tc>
          <w:tcPr/>
          <w:p>
            <w:pPr>
              <w:pStyle w:val="Compact"/>
              <w:jc w:val="left"/>
            </w:pPr>
            <w:r>
              <w:rPr>
                <w:bCs/>
                <w:b/>
              </w:rPr>
              <w:t xml:space="preserve">Điểm ngưỡng (TP)</w:t>
            </w:r>
          </w:p>
        </w:tc>
        <w:tc>
          <w:tcPr/>
          <w:p>
            <w:pPr>
              <w:pStyle w:val="Compact"/>
              <w:jc w:val="left"/>
            </w:pPr>
            <w:r>
              <w:rPr>
                <w:bCs/>
                <w:b/>
              </w:rPr>
              <w:t xml:space="preserve">49, 4%</w:t>
            </w:r>
          </w:p>
        </w:tc>
        <w:tc>
          <w:tcPr/>
          <w:p>
            <w:pPr>
              <w:pStyle w:val="Compact"/>
              <w:jc w:val="left"/>
            </w:pPr>
            <w:r>
              <w:rPr>
                <w:bCs/>
                <w:b/>
              </w:rPr>
              <w:t xml:space="preserve">47, 2%</w:t>
            </w:r>
          </w:p>
        </w:tc>
        <w:tc>
          <w:tcPr/>
          <w:p>
            <w:pPr>
              <w:pStyle w:val="Compact"/>
              <w:jc w:val="left"/>
            </w:pPr>
            <w:r>
              <w:rPr>
                <w:bCs/>
                <w:b/>
              </w:rPr>
              <w:t xml:space="preserve">48, 8%</w:t>
            </w:r>
          </w:p>
        </w:tc>
      </w:tr>
      <w:tr>
        <w:tc>
          <w:tcPr/>
          <w:p>
            <w:pPr>
              <w:pStyle w:val="Compact"/>
              <w:jc w:val="left"/>
            </w:pPr>
            <w:r>
              <w:t xml:space="preserve">KTC 95% (phương pháp delta)</w:t>
            </w:r>
          </w:p>
        </w:tc>
        <w:tc>
          <w:tcPr/>
          <w:p>
            <w:pPr>
              <w:pStyle w:val="Compact"/>
              <w:jc w:val="left"/>
            </w:pPr>
            <w:r>
              <w:t xml:space="preserve">[43, 1; 55, 7]</w:t>
            </w:r>
          </w:p>
        </w:tc>
        <w:tc>
          <w:tcPr/>
          <w:p>
            <w:pPr>
              <w:pStyle w:val="Compact"/>
              <w:jc w:val="left"/>
            </w:pPr>
            <w:r>
              <w:t xml:space="preserve">[40, 8; 53, 6]</w:t>
            </w:r>
          </w:p>
        </w:tc>
        <w:tc>
          <w:tcPr/>
          <w:p>
            <w:pPr>
              <w:pStyle w:val="Compact"/>
              <w:jc w:val="left"/>
            </w:pPr>
            <w:r>
              <w:t xml:space="preserve">[44, 2; 53, 4]</w:t>
            </w:r>
          </w:p>
        </w:tc>
      </w:tr>
      <w:tr>
        <w:tc>
          <w:tcPr/>
          <w:p>
            <w:pPr>
              <w:pStyle w:val="Compact"/>
              <w:jc w:val="left"/>
            </w:pPr>
            <w:r>
              <w:t xml:space="preserve">R²</w:t>
            </w:r>
          </w:p>
        </w:tc>
        <w:tc>
          <w:tcPr/>
          <w:p>
            <w:pPr>
              <w:pStyle w:val="Compact"/>
              <w:jc w:val="left"/>
            </w:pPr>
            <w:r>
              <w:t xml:space="preserve">, 142</w:t>
            </w:r>
          </w:p>
        </w:tc>
        <w:tc>
          <w:tcPr/>
          <w:p>
            <w:pPr>
              <w:pStyle w:val="Compact"/>
              <w:jc w:val="left"/>
            </w:pPr>
            <w:r>
              <w:t xml:space="preserve">, 179</w:t>
            </w:r>
          </w:p>
        </w:tc>
        <w:tc>
          <w:tcPr/>
          <w:p>
            <w:pPr>
              <w:pStyle w:val="Compact"/>
              <w:jc w:val="left"/>
            </w:pPr>
            <w:r>
              <w:t xml:space="preserve">, 158</w:t>
            </w:r>
          </w:p>
        </w:tc>
      </w:tr>
      <w:tr>
        <w:tc>
          <w:tcPr/>
          <w:p>
            <w:pPr>
              <w:pStyle w:val="Compact"/>
              <w:jc w:val="left"/>
            </w:pPr>
            <w:r>
              <w:t xml:space="preserve">Thống kê F</w:t>
            </w:r>
          </w:p>
        </w:tc>
        <w:tc>
          <w:tcPr/>
          <w:p>
            <w:pPr>
              <w:pStyle w:val="Compact"/>
              <w:jc w:val="left"/>
            </w:pPr>
            <w:r>
              <w:t xml:space="preserve">28, 4***</w:t>
            </w:r>
          </w:p>
        </w:tc>
        <w:tc>
          <w:tcPr/>
          <w:p>
            <w:pPr>
              <w:pStyle w:val="Compact"/>
              <w:jc w:val="left"/>
            </w:pPr>
            <w:r>
              <w:t xml:space="preserve">22, 7***</w:t>
            </w:r>
          </w:p>
        </w:tc>
        <w:tc>
          <w:tcPr/>
          <w:p>
            <w:pPr>
              <w:pStyle w:val="Compact"/>
              <w:jc w:val="left"/>
            </w:pPr>
            <w:r>
              <w:t xml:space="preserve">48, 3***</w:t>
            </w:r>
          </w:p>
        </w:tc>
      </w:tr>
    </w:tbl>
    <w:p>
      <w:pPr>
        <w:pStyle w:val="BodyText"/>
      </w:pPr>
      <w:r>
        <w:t xml:space="preserve">Hệ số với sai số chuẩn vững HC1 trong ngoặc đơn. * p &lt;, 05; ** p &lt;, 01; *** p &lt;, 001.</w:t>
      </w:r>
      <w:r>
        <w:t xml:space="preserve"> </w:t>
      </w:r>
      <w:r>
        <w:t xml:space="preserve">KIỂM ĐỊNH PATERNOSTER (FSTS): z = +0, 82, p =, 412; (FSTS²): z = −0, 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 4%) và 2024 (47, 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 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 24, p =, 107 (KHÔNG bác bỏ ở α =, 05); F2 (điều tiết theo năng lực trong cùng đợt) = 3, 26, p =, 039 (ở biên, không vượt qua hiệu chỉnh Bonferroni ở α* =, 017); F3 (dịch chuyển xuyên đợt có điều kiện theo năng lực) = 0, 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 28 ở 2012, p &lt;, 001; +0, 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 379 (0, 401)</w:t>
            </w:r>
          </w:p>
        </w:tc>
        <w:tc>
          <w:tcPr/>
          <w:p>
            <w:pPr>
              <w:pStyle w:val="Compact"/>
              <w:jc w:val="left"/>
            </w:pPr>
            <w:r>
              <w:t xml:space="preserve">, 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 721 (0, 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 542 (0, 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 678 (0, 876)</w:t>
            </w:r>
          </w:p>
        </w:tc>
        <w:tc>
          <w:tcPr/>
          <w:p>
            <w:pPr>
              <w:pStyle w:val="Compact"/>
              <w:jc w:val="left"/>
            </w:pPr>
            <w:r>
              <w:t xml:space="preserve">, 439</w:t>
            </w:r>
          </w:p>
        </w:tc>
        <w:tc>
          <w:tcPr/>
          <w:p>
            <w:pPr>
              <w:pStyle w:val="Compact"/>
            </w:pPr>
          </w:p>
        </w:tc>
      </w:tr>
      <w:tr>
        <w:tc>
          <w:tcPr/>
          <w:p>
            <w:pPr>
              <w:pStyle w:val="Compact"/>
              <w:jc w:val="left"/>
            </w:pPr>
            <w:r>
              <w:t xml:space="preserve">FSTS² × wave_2024</w:t>
            </w:r>
          </w:p>
        </w:tc>
        <w:tc>
          <w:tcPr/>
          <w:p>
            <w:pPr>
              <w:pStyle w:val="Compact"/>
              <w:jc w:val="left"/>
            </w:pPr>
            <w:r>
              <w:t xml:space="preserve">−0, 290 (0, 975)</w:t>
            </w:r>
          </w:p>
        </w:tc>
        <w:tc>
          <w:tcPr/>
          <w:p>
            <w:pPr>
              <w:pStyle w:val="Compact"/>
              <w:jc w:val="left"/>
            </w:pPr>
            <w:r>
              <w:t xml:space="preserve">, 766</w:t>
            </w:r>
          </w:p>
        </w:tc>
        <w:tc>
          <w:tcPr/>
          <w:p>
            <w:pPr>
              <w:pStyle w:val="Compact"/>
            </w:pPr>
          </w:p>
        </w:tc>
      </w:tr>
      <w:tr>
        <w:tc>
          <w:tcPr/>
          <w:p>
            <w:pPr>
              <w:pStyle w:val="Compact"/>
              <w:jc w:val="left"/>
            </w:pPr>
            <w:r>
              <w:t xml:space="preserve">Tech (TCI_full)</w:t>
            </w:r>
          </w:p>
        </w:tc>
        <w:tc>
          <w:tcPr/>
          <w:p>
            <w:pPr>
              <w:pStyle w:val="Compact"/>
              <w:jc w:val="left"/>
            </w:pPr>
            <w:r>
              <w:t xml:space="preserve">+0, 380 (0, 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 414 (0, 539)</w:t>
            </w:r>
          </w:p>
        </w:tc>
        <w:tc>
          <w:tcPr/>
          <w:p>
            <w:pPr>
              <w:pStyle w:val="Compact"/>
              <w:jc w:val="left"/>
            </w:pPr>
            <w:r>
              <w:t xml:space="preserve">, 443</w:t>
            </w:r>
          </w:p>
        </w:tc>
        <w:tc>
          <w:tcPr/>
          <w:p>
            <w:pPr>
              <w:pStyle w:val="Compact"/>
            </w:pPr>
          </w:p>
        </w:tc>
      </w:tr>
      <w:tr>
        <w:tc>
          <w:tcPr/>
          <w:p>
            <w:pPr>
              <w:pStyle w:val="Compact"/>
              <w:jc w:val="left"/>
            </w:pPr>
            <w:r>
              <w:t xml:space="preserve">FSTS² × Tech</w:t>
            </w:r>
          </w:p>
        </w:tc>
        <w:tc>
          <w:tcPr/>
          <w:p>
            <w:pPr>
              <w:pStyle w:val="Compact"/>
              <w:jc w:val="left"/>
            </w:pPr>
            <w:r>
              <w:t xml:space="preserve">+0, 051 (0, 615)</w:t>
            </w:r>
          </w:p>
        </w:tc>
        <w:tc>
          <w:tcPr/>
          <w:p>
            <w:pPr>
              <w:pStyle w:val="Compact"/>
              <w:jc w:val="left"/>
            </w:pPr>
            <w:r>
              <w:t xml:space="preserve">, 934</w:t>
            </w:r>
          </w:p>
        </w:tc>
        <w:tc>
          <w:tcPr/>
          <w:p>
            <w:pPr>
              <w:pStyle w:val="Compact"/>
            </w:pPr>
          </w:p>
        </w:tc>
      </w:tr>
      <w:tr>
        <w:tc>
          <w:tcPr/>
          <w:p>
            <w:pPr>
              <w:pStyle w:val="Compact"/>
              <w:jc w:val="left"/>
            </w:pPr>
            <w:r>
              <w:t xml:space="preserve">FSTS × wave_2024 × Tech</w:t>
            </w:r>
          </w:p>
        </w:tc>
        <w:tc>
          <w:tcPr/>
          <w:p>
            <w:pPr>
              <w:pStyle w:val="Compact"/>
              <w:jc w:val="left"/>
            </w:pPr>
            <w:r>
              <w:t xml:space="preserve">−0, 376 (0, 898)</w:t>
            </w:r>
          </w:p>
        </w:tc>
        <w:tc>
          <w:tcPr/>
          <w:p>
            <w:pPr>
              <w:pStyle w:val="Compact"/>
              <w:jc w:val="left"/>
            </w:pPr>
            <w:r>
              <w:t xml:space="preserve">, 675</w:t>
            </w:r>
          </w:p>
        </w:tc>
        <w:tc>
          <w:tcPr/>
          <w:p>
            <w:pPr>
              <w:pStyle w:val="Compact"/>
            </w:pPr>
          </w:p>
        </w:tc>
      </w:tr>
      <w:tr>
        <w:tc>
          <w:tcPr/>
          <w:p>
            <w:pPr>
              <w:pStyle w:val="Compact"/>
              <w:jc w:val="left"/>
            </w:pPr>
            <w:r>
              <w:t xml:space="preserve">FSTS² × wave_2024 × Tech</w:t>
            </w:r>
          </w:p>
        </w:tc>
        <w:tc>
          <w:tcPr/>
          <w:p>
            <w:pPr>
              <w:pStyle w:val="Compact"/>
              <w:jc w:val="left"/>
            </w:pPr>
            <w:r>
              <w:t xml:space="preserve">+0, 249 (1, 076)</w:t>
            </w:r>
          </w:p>
        </w:tc>
        <w:tc>
          <w:tcPr/>
          <w:p>
            <w:pPr>
              <w:pStyle w:val="Compact"/>
              <w:jc w:val="left"/>
            </w:pPr>
            <w:r>
              <w:t xml:space="preserve">, 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 24</w:t>
            </w:r>
          </w:p>
        </w:tc>
        <w:tc>
          <w:tcPr/>
          <w:p>
            <w:pPr>
              <w:pStyle w:val="Compact"/>
              <w:jc w:val="left"/>
            </w:pPr>
            <w:r>
              <w:rPr>
                <w:bCs/>
                <w:b/>
              </w:rPr>
              <w:t xml:space="preserve">, 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 26</w:t>
            </w:r>
          </w:p>
        </w:tc>
        <w:tc>
          <w:tcPr/>
          <w:p>
            <w:pPr>
              <w:pStyle w:val="Compact"/>
              <w:jc w:val="left"/>
            </w:pPr>
            <w:r>
              <w:rPr>
                <w:bCs/>
                <w:b/>
              </w:rPr>
              <w:t xml:space="preserve">, 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 27</w:t>
            </w:r>
          </w:p>
        </w:tc>
        <w:tc>
          <w:tcPr/>
          <w:p>
            <w:pPr>
              <w:pStyle w:val="Compact"/>
              <w:jc w:val="left"/>
            </w:pPr>
            <w:r>
              <w:rPr>
                <w:bCs/>
                <w:b/>
              </w:rPr>
              <w:t xml:space="preserve">, 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 10 ở 2012, p =, 002; +0, 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 018, KTC 95% [0, 004; 0, 039]; 2024: +0, 022, KTC 95% [0, 007; 0, 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 1% (2012) và 46, 4% (2024), nằm trong khoảng tin cậy của ước lượng mẫu đầy đủ. Kiểm định Paternoster z vẫn không có ý nghĩa (FSTS z = +0, 61, p =, 542; FSTS² z = −0, 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 9% ở 2012 và 45, 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 8% đến 51, 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 4% (2012) và 47, 2% (2024) không thể phân biệt về mặt thống kê qua kiểm định Paternoster, và ước lượng gộp (48, 8%) nằm trong khoảng tin cậy cả hai đợt. Độ bền này đáng chú ý khi xét quy mô thay đổi cấu trúc giữa hai đợt khảo sát, tái định hướng sáng kiến Vành đai và Con đường, ma sát thương mại, COVID-19,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F2 = 3, 26, p =, 039, không vượt qua hiệu chỉnh Bonferroni ở α* =, 017, nhất quán với H4b, có cách diễn giải chính xác: TCI_full nâng giá trị chặn năng suất ở cả hai đợt (β_z = +0, 28 ở 2012, +0, 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 28 lên +0, 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dữ liệu bảng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dữ liệu bảng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bảng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 4% và 47, 2%) không thể phân biệt về mặt thống kê qua các đợt (kiểm định Paternoster z: FSTS z = +0, 82, p =, 412; FSTS² z = −0, 61, p =, 545), ủng hộ H2b (độ bền cấu trúc). Năng lực công nghệ là dịch chuyển mức nền dương vững chắc của năng suất (β_z = +0, 28 ở 2012, +0, 43 ở 2024; cả hai p &lt;, 001) nhưng không điều tiết có ý nghĩa thống kê độ cong hình chữ U ngược (F2 = 3, 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2026-06-23T11:51:59Z</dcterms:created>
  <dcterms:modified xsi:type="dcterms:W3CDTF">2026-06-23T11:51:59Z</dcterms:modified>
</cp:coreProperties>
</file>

<file path=docProps/custom.xml><?xml version="1.0" encoding="utf-8"?>
<Properties xmlns="http://schemas.openxmlformats.org/officeDocument/2006/custom-properties" xmlns:vt="http://schemas.openxmlformats.org/officeDocument/2006/docPropsVTypes"/>
</file>