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30" w:name="Xff8cef3ed320f9cf6f3fba4ff558bfed3af19c6"/>
    <w:p>
      <w:pPr>
        <w:pStyle w:val="Heading2"/>
      </w:pPr>
      <w:r>
        <w:t xml:space="preserve">5.1 Bàn luận kết quả theo khung lý thuyết CDCM</w:t>
      </w:r>
    </w:p>
    <w:bookmarkStart w:id="22"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Nói cách khác,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2"/>
    <w:bookmarkStart w:id="23"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4"/>
    <w:bookmarkStart w:id="25"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
    <w:bookmarkStart w:id="27"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7"/>
    <w:bookmarkStart w:id="28"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8"/>
    <w:bookmarkStart w:id="29" w:name="X08dece717898d5afcbb01edbe9ac6531a983c78"/>
    <w:p>
      <w:pPr>
        <w:pStyle w:val="Heading3"/>
      </w:pPr>
      <w:r>
        <w:t xml:space="preserve">5.1.8 Sợi chỉ vàng: truy vết tích hợp từ câu hỏi nghiên cứu đến đóng góp lý thuyết</w:t>
      </w:r>
    </w:p>
    <w:p>
      <w:pPr>
        <w:pStyle w:val="FirstParagraph"/>
      </w:pPr>
      <w:r>
        <w:t xml:space="preserve">Để làm rõ rằng luận án là</w:t>
      </w:r>
      <w:r>
        <w:t xml:space="preserve"> </w:t>
      </w:r>
      <w:r>
        <w:rPr>
          <w:bCs/>
          <w:b/>
        </w:rPr>
        <w:t xml:space="preserve">một lập luận tích hợp duy nhất</w:t>
      </w:r>
      <w:r>
        <w:t xml:space="preserve"> </w:t>
      </w:r>
      <w:r>
        <w:t xml:space="preserve">chứ không phải tập hợp rời rạc các nghiên cứu thành phần, Bảng 5.1 truy vết</w:t>
      </w:r>
      <w:r>
        <w:t xml:space="preserve"> </w:t>
      </w:r>
      <w:r>
        <w:t xml:space="preserve">“</w:t>
      </w:r>
      <w:r>
        <w:t xml:space="preserve">sợi chỉ vàng</w:t>
      </w:r>
      <w:r>
        <w:t xml:space="preserve">”</w:t>
      </w:r>
      <w:r>
        <w:t xml:space="preserve"> </w:t>
      </w:r>
      <w:r>
        <w:t xml:space="preserve">xuyên suốt: mỗi câu hỏi nghiên cứu được trả lời bằng những nghiên cứu thành phần cụ thể, kiểm định những giả thuyết xác định, cho ra những phát hiện thực nghiệm có thể đối chiếu, và cùng hội tụ về một đóng góp lý thuyết của khung CDCM–ICRV–FIP. Bảng đọc theo chiều ngang cho thấy tính nhất quán nội tại của từng mắt xích; đọc theo chiều dọc cho thấy cách các mảnh bằng chứng độc lập bồi đắp lẫn nhau thành một tuyên bố thống nhất.</w:t>
      </w:r>
    </w:p>
    <w:p>
      <w:pPr>
        <w:pStyle w:val="BodyText"/>
      </w:pPr>
      <w:r>
        <w:rPr>
          <w:bCs/>
          <w:b/>
        </w:rPr>
        <w:t xml:space="preserve">Bảng 5.1.</w:t>
      </w:r>
      <w:r>
        <w:t xml:space="preserve"> </w:t>
      </w:r>
      <w:r>
        <w:rPr>
          <w:iCs/>
          <w:i/>
        </w:rPr>
        <w:t xml:space="preserve">Sợi chỉ vàng tích hợp: câu hỏi nghiên cứu → nghiên cứu thành phần → giả thuyết → phát hiện thực nghiệm chủ chốt → đóng góp lý thuyết.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Cơ sở</w:t>
            </w:r>
          </w:p>
        </w:tc>
        <w:tc>
          <w:tcPr/>
          <w:p>
            <w:pPr>
              <w:pStyle w:val="Compact"/>
              <w:jc w:val="left"/>
            </w:pPr>
            <w:r>
              <w:t xml:space="preserve">P1 — Cơ sở đa quốc gia 17 nền (</w:t>
            </w:r>
            <m:oMath>
              <m:r>
                <m:t>N</m:t>
              </m:r>
              <m:r>
                <m:rPr>
                  <m:sty m:val="p"/>
                </m:rPr>
                <m:t>=</m:t>
              </m:r>
              <m:r>
                <m:t>40.633</m:t>
              </m:r>
            </m:oMath>
            <w:r>
              <w:t xml:space="preserve">)</w:t>
            </w:r>
          </w:p>
        </w:tc>
        <w:tc>
          <w:tcPr/>
          <w:p>
            <w:pPr>
              <w:pStyle w:val="Compact"/>
              <w:jc w:val="left"/>
            </w:pPr>
            <w:r>
              <w:t xml:space="preserve">Nền tảng (CDCM)</w:t>
            </w:r>
          </w:p>
        </w:tc>
        <w:tc>
          <w:tcPr/>
          <w:p>
            <w:pPr>
              <w:pStyle w:val="Compact"/>
              <w:jc w:val="left"/>
            </w:pPr>
            <w:r>
              <w:t xml:space="preserve">Phân tầng năng suất theo vùng;</w:t>
            </w:r>
            <w:r>
              <w:t xml:space="preserve"> </w:t>
            </w:r>
            <w:r>
              <w:rPr>
                <w:bCs/>
                <w:b/>
              </w:rPr>
              <w:t xml:space="preserve">hiệu ứng lá chắn số</w:t>
            </w:r>
            <w:r>
              <w:t xml:space="preserve"> </w:t>
            </w:r>
            <w:r>
              <w:t xml:space="preserve">(rào cản ×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w:t>
            </w:r>
          </w:p>
        </w:tc>
        <w:tc>
          <w:tcPr/>
          <w:p>
            <w:pPr>
              <w:pStyle w:val="Compact"/>
              <w:jc w:val="left"/>
            </w:pPr>
            <w:r>
              <w:t xml:space="preserve">Đặt nền cho khung CDCM; nguồn gốc</w:t>
            </w:r>
            <w:r>
              <w:t xml:space="preserve"> </w:t>
            </w:r>
            <w:r>
              <w:t xml:space="preserve">“</w:t>
            </w:r>
            <w:r>
              <w:t xml:space="preserve">lá chắn số</w:t>
            </w:r>
            <w:r>
              <w:t xml:space="preserve">”</w:t>
            </w:r>
            <w:r>
              <w:t xml:space="preserve"> </w:t>
            </w:r>
            <w:r>
              <w:t xml:space="preserve">mà P7 mở rộng ra 50 nền</w:t>
            </w:r>
          </w:p>
        </w:tc>
      </w:tr>
      <w:tr>
        <w:tc>
          <w:tcPr/>
          <w:p>
            <w:pPr>
              <w:pStyle w:val="Compact"/>
              <w:jc w:val="left"/>
            </w:pPr>
            <w:r>
              <w:t xml:space="preserve">RQ1</w:t>
            </w:r>
          </w:p>
        </w:tc>
        <w:tc>
          <w:tcPr/>
          <w:p>
            <w:pPr>
              <w:pStyle w:val="Compact"/>
              <w:jc w:val="left"/>
            </w:pPr>
            <w:r>
              <w:t xml:space="preserve">P6 — Phân tích tổng hợp toàn cầu</w:t>
            </w:r>
          </w:p>
        </w:tc>
        <w:tc>
          <w:tcPr/>
          <w:p>
            <w:pPr>
              <w:pStyle w:val="Compact"/>
              <w:jc w:val="left"/>
            </w:pPr>
            <w:r>
              <w:t xml:space="preserve">H1, H5</w:t>
            </w:r>
          </w:p>
        </w:tc>
        <w:tc>
          <w:tcPr/>
          <w:p>
            <w:pPr>
              <w:pStyle w:val="Compact"/>
              <w:jc w:val="left"/>
            </w:pPr>
            <m:oMath>
              <m:r>
                <m:t>k</m:t>
              </m:r>
              <m:r>
                <m:rPr>
                  <m:sty m:val="p"/>
                </m:rPr>
                <m:t>=</m:t>
              </m:r>
              <m:r>
                <m:t>238</m:t>
              </m:r>
            </m:oMath>
            <w:r>
              <w:t xml:space="preserve">; hiệu ứng dương nhỏ</w:t>
            </w:r>
            <w:r>
              <w:t xml:space="preserve"> </w:t>
            </w:r>
            <m:oMath>
              <m:acc>
                <m:accPr>
                  <m:chr m:val="‾"/>
                </m:accPr>
                <m:e>
                  <m:r>
                    <m:t>r</m:t>
                  </m:r>
                </m:e>
              </m:acc>
              <m:r>
                <m:rPr>
                  <m:sty m:val="p"/>
                </m:rPr>
                <m:t>=</m:t>
              </m:r>
              <m:r>
                <m:t>0</m:t>
              </m:r>
              <m:r>
                <m:rPr>
                  <m:sty m:val="p"/>
                </m:rPr>
                <m:t>,</m:t>
              </m:r>
              <m:r>
                <m:t>074</m:t>
              </m:r>
            </m:oMath>
            <w:r>
              <w:t xml:space="preserve">; dị biệt cao</w:t>
            </w:r>
            <w:r>
              <w:t xml:space="preserve"> </w:t>
            </w:r>
            <m:oMath>
              <m:sSup>
                <m:e>
                  <m:r>
                    <m:t>I</m:t>
                  </m:r>
                </m:e>
                <m:sup>
                  <m:r>
                    <m:t>2</m:t>
                  </m:r>
                </m:sup>
              </m:sSup>
              <m:r>
                <m:rPr>
                  <m:sty m:val="p"/>
                </m:rPr>
                <m:t>=</m:t>
              </m:r>
              <m:r>
                <m:t>62</m:t>
              </m:r>
              <m:r>
                <m:rPr>
                  <m:sty m:val="p"/>
                </m:rPr>
                <m:t>,</m:t>
              </m:r>
              <m:r>
                <m:t>4</m:t>
              </m:r>
              <m:r>
                <m:rPr>
                  <m:sty m:val="p"/>
                </m:rPr>
                <m:t>%</m:t>
              </m:r>
            </m:oMath>
            <w:r>
              <w:t xml:space="preserve">; thể chế điều tiết</w:t>
            </w:r>
            <w:r>
              <w:t xml:space="preserve"> </w:t>
            </w:r>
            <m:oMath>
              <m:sSub>
                <m:e>
                  <m:r>
                    <m:t>Q</m:t>
                  </m:r>
                </m:e>
                <m:sub>
                  <m:r>
                    <m:t>M</m:t>
                  </m:r>
                </m:sub>
              </m:sSub>
              <m:r>
                <m:rPr>
                  <m:sty m:val="p"/>
                </m:rPr>
                <m:t>=</m:t>
              </m:r>
              <m:r>
                <m:t>17</m:t>
              </m:r>
              <m:r>
                <m:rPr>
                  <m:sty m:val="p"/>
                </m:rPr>
                <m:t>,</m:t>
              </m:r>
              <m:r>
                <m:t>35</m:t>
              </m:r>
            </m:oMath>
            <w:r>
              <w:t xml:space="preserve"> </w:t>
            </w:r>
            <w:r>
              <w:t xml:space="preserve">(</w:t>
            </w:r>
            <m:oMath>
              <m:r>
                <m:t>p</m:t>
              </m:r>
              <m:r>
                <m:rPr>
                  <m:sty m:val="p"/>
                </m:rPr>
                <m:t>=</m:t>
              </m:r>
              <m:r>
                <m:rPr>
                  <m:sty m:val="p"/>
                </m:rPr>
                <m:t>,</m:t>
              </m:r>
              <m:r>
                <m:t>002</m:t>
              </m:r>
            </m:oMath>
            <w:r>
              <w:t xml:space="preserve">)</w:t>
            </w:r>
          </w:p>
        </w:tc>
        <w:tc>
          <w:tcPr/>
          <w:p>
            <w:pPr>
              <w:pStyle w:val="Compact"/>
              <w:jc w:val="left"/>
            </w:pPr>
            <w:r>
              <w:t xml:space="preserve">Xác lập thực chứng rằng quan hệ I–P dương nhỏ nhưng</w:t>
            </w:r>
            <w:r>
              <w:t xml:space="preserve"> </w:t>
            </w:r>
            <w:r>
              <w:rPr>
                <w:bCs/>
                <w:b/>
              </w:rPr>
              <w:t xml:space="preserve">dị biệt do thể chế</w:t>
            </w:r>
            <w:r>
              <w:t xml:space="preserve"> </w:t>
            </w:r>
            <w:r>
              <w:t xml:space="preserve">— cơ sở cho trục ICRV</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dương; điểm uốn ~88,6% (CI rộng, ngoài miền); DAI khuếch đại ở cường độ cao</w:t>
            </w:r>
          </w:p>
        </w:tc>
        <w:tc>
          <w:tcPr/>
          <w:p>
            <w:pPr>
              <w:pStyle w:val="Compact"/>
              <w:jc w:val="left"/>
            </w:pPr>
            <w:r>
              <w:t xml:space="preserve">Biên trên: đường cong</w:t>
            </w:r>
            <w:r>
              <w:t xml:space="preserve"> </w:t>
            </w:r>
            <w:r>
              <w:rPr>
                <w:bCs/>
                <w:b/>
              </w:rPr>
              <w:t xml:space="preserve">duỗi thẳng</w:t>
            </w:r>
            <w:r>
              <w:t xml:space="preserve"> </w:t>
            </w:r>
            <w:r>
              <w:t xml:space="preserve">khi đệm thể chế dày</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sắc nét, điểm uốn 39,3–46,2%; TCI điều tiết dương</w:t>
            </w:r>
          </w:p>
        </w:tc>
        <w:tc>
          <w:tcPr/>
          <w:p>
            <w:pPr>
              <w:pStyle w:val="Compact"/>
              <w:jc w:val="left"/>
            </w:pPr>
            <w:r>
              <w:t xml:space="preserve">Chế độ neo; phân biệt</w:t>
            </w:r>
            <w:r>
              <w:t xml:space="preserve"> </w:t>
            </w:r>
            <w:r>
              <w:rPr>
                <w:bCs/>
                <w:b/>
              </w:rPr>
              <w:t xml:space="preserve">biên tham gia</w:t>
            </w:r>
            <w:r>
              <w:t xml:space="preserve"> </w:t>
            </w:r>
            <w:r>
              <w:t xml:space="preserve">vs biên cường độ</w:t>
            </w:r>
          </w:p>
        </w:tc>
      </w:tr>
      <w:tr>
        <w:tc>
          <w:tcPr/>
          <w:p>
            <w:pPr>
              <w:pStyle w:val="Compact"/>
              <w:jc w:val="left"/>
            </w:pPr>
            <w:r>
              <w:t xml:space="preserve">RQ2</w:t>
            </w:r>
          </w:p>
        </w:tc>
        <w:tc>
          <w:tcPr/>
          <w:p>
            <w:pPr>
              <w:pStyle w:val="Compact"/>
              <w:jc w:val="left"/>
            </w:pPr>
            <w:r>
              <w:t xml:space="preserve">P5 — Trung Quốc 2012–2024 (III); P2 — DNVVN TQ</w:t>
            </w:r>
          </w:p>
        </w:tc>
        <w:tc>
          <w:tcPr/>
          <w:p>
            <w:pPr>
              <w:pStyle w:val="Compact"/>
              <w:jc w:val="left"/>
            </w:pPr>
            <w:r>
              <w:t xml:space="preserve">H1, H6</w:t>
            </w:r>
          </w:p>
        </w:tc>
        <w:tc>
          <w:tcPr/>
          <w:p>
            <w:pPr>
              <w:pStyle w:val="Compact"/>
              <w:jc w:val="left"/>
            </w:pPr>
            <w:r>
              <w:t xml:space="preserve">Điểm uốn ổn định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P2: 47,8%, bẫy vốn lưu động</w:t>
            </w:r>
          </w:p>
        </w:tc>
        <w:tc>
          <w:tcPr/>
          <w:p>
            <w:pPr>
              <w:pStyle w:val="Compact"/>
              <w:jc w:val="left"/>
            </w:pPr>
            <w:r>
              <w:rPr>
                <w:bCs/>
                <w:b/>
              </w:rPr>
              <w:t xml:space="preserve">Tính bền thời gian</w:t>
            </w:r>
            <w:r>
              <w:t xml:space="preserve"> </w:t>
            </w:r>
            <w:r>
              <w:t xml:space="preserve">của điểm uốn qua một thập kỷ</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 H2, H3, H5</w:t>
            </w:r>
          </w:p>
        </w:tc>
        <w:tc>
          <w:tcPr/>
          <w:p>
            <w:pPr>
              <w:pStyle w:val="Compact"/>
              <w:jc w:val="left"/>
            </w:pPr>
            <m:oMath>
              <m:r>
                <m:t>N</m:t>
              </m:r>
              <m:r>
                <m:rPr>
                  <m:sty m:val="p"/>
                </m:rPr>
                <m:t>=</m:t>
              </m:r>
              <m:r>
                <m:t>81.022</m:t>
              </m:r>
              <m:r>
                <m:rPr>
                  <m:sty m:val="p"/>
                </m:rPr>
                <m:t>/</m:t>
              </m:r>
              <m:r>
                <m:t>79.080</m:t>
              </m:r>
            </m:oMath>
            <w:r>
              <w:t xml:space="preserve">; điểm uốn 43,6–51,5%; TCI</w:t>
            </w:r>
            <w:r>
              <w:t xml:space="preserve"> </w:t>
            </w:r>
            <m:oMath>
              <m:r>
                <m:rPr>
                  <m:sty m:val="p"/>
                </m:rPr>
                <m:t>+</m:t>
              </m:r>
              <m:r>
                <m:t>0</m:t>
              </m:r>
              <m:r>
                <m:rPr>
                  <m:sty m:val="p"/>
                </m:rPr>
                <m:t>,</m:t>
              </m:r>
              <m:r>
                <m:t>141</m:t>
              </m:r>
            </m:oMath>
            <w:r>
              <w:t xml:space="preserve">, DAI</w:t>
            </w:r>
            <w:r>
              <w:t xml:space="preserve"> </w:t>
            </w:r>
            <m:oMath>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nâng mặt bằng</w:t>
            </w:r>
          </w:p>
        </w:tc>
        <w:tc>
          <w:tcPr/>
          <w:p>
            <w:pPr>
              <w:pStyle w:val="Compact"/>
              <w:jc w:val="left"/>
            </w:pPr>
            <w:r>
              <w:t xml:space="preserve">Khái quát hóa CDCM; TCI/DAI là</w:t>
            </w:r>
            <w:r>
              <w:t xml:space="preserve"> </w:t>
            </w:r>
            <w:r>
              <w:rPr>
                <w:bCs/>
                <w:b/>
              </w:rPr>
              <w:t xml:space="preserve">bộ nâng mặt bằng phổ quát</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độ dốc</w:t>
            </w:r>
            <w:r>
              <w:t xml:space="preserve"> </w:t>
            </w:r>
            <m:oMath>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độ cong</w:t>
            </w:r>
            <w:r>
              <w:t xml:space="preserve"> </w:t>
            </w:r>
            <m:oMath>
              <m:r>
                <m:rPr>
                  <m:sty m:val="p"/>
                </m:rPr>
                <m:t>+</m:t>
              </m:r>
              <m:r>
                <m:t>0</m:t>
              </m:r>
              <m:r>
                <m:rPr>
                  <m:sty m:val="p"/>
                </m:rPr>
                <m:t>,</m:t>
              </m:r>
              <m:r>
                <m:t>696</m:t>
              </m:r>
            </m:oMath>
            <w:r>
              <w:t xml:space="preserve"> </w:t>
            </w:r>
            <w:r>
              <w:t xml:space="preserve">(</w:t>
            </w:r>
            <m:oMath>
              <m:sSub>
                <m:e>
                  <m:r>
                    <m:t>p</m:t>
                  </m:r>
                </m:e>
                <m:sub>
                  <m:r>
                    <m:rPr>
                      <m:nor/>
                      <m:sty m:val="p"/>
                    </m:rPr>
                    <m:t>wild</m:t>
                  </m:r>
                </m:sub>
              </m:sSub>
              <m:r>
                <m:rPr>
                  <m:sty m:val="p"/>
                </m:rPr>
                <m:t>=</m:t>
              </m:r>
              <m:r>
                <m:rPr>
                  <m:sty m:val="p"/>
                </m:rPr>
                <m:t>,</m:t>
              </m:r>
              <m:r>
                <m:t>082</m:t>
              </m:r>
            </m:oMath>
            <w:r>
              <w:t xml:space="preserve"> </w:t>
            </w:r>
            <w:r>
              <w:t xml:space="preserve">biên);</w:t>
            </w:r>
            <w:r>
              <w:t xml:space="preserve"> </w:t>
            </w:r>
            <m:oMath>
              <m:r>
                <m:t>N</m:t>
              </m:r>
              <m:r>
                <m:rPr>
                  <m:sty m:val="p"/>
                </m:rPr>
                <m:t>=</m:t>
              </m:r>
              <m:r>
                <m:t>1.450</m:t>
              </m:r>
            </m:oMath>
          </w:p>
        </w:tc>
        <w:tc>
          <w:tcPr/>
          <w:p>
            <w:pPr>
              <w:pStyle w:val="Compact"/>
              <w:jc w:val="left"/>
            </w:pPr>
            <w:r>
              <w:t xml:space="preserve">Định danh</w:t>
            </w:r>
            <w:r>
              <w:t xml:space="preserve"> </w:t>
            </w:r>
            <w:r>
              <w:rPr>
                <w:bCs/>
                <w:b/>
              </w:rPr>
              <w:t xml:space="preserve">FIP</w:t>
            </w:r>
            <w:r>
              <w:t xml:space="preserve"> </w:t>
            </w:r>
            <w:r>
              <w:t xml:space="preserve">— điều kiện biên cực trị của chữ U ngược</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(Nhóm IV 43,0% → Nhóm I gần tuyến tính → Nhóm V/VI mất cấu trúc)</w:t>
            </w:r>
          </w:p>
        </w:tc>
        <w:tc>
          <w:tcPr/>
          <w:p>
            <w:pPr>
              <w:pStyle w:val="Compact"/>
              <w:jc w:val="left"/>
            </w:pPr>
            <w:r>
              <w:t xml:space="preserve">Thể chế điều tiết cả</w:t>
            </w:r>
            <w:r>
              <w:t xml:space="preserve"> </w:t>
            </w:r>
            <w:r>
              <w:rPr>
                <w:bCs/>
                <w:b/>
              </w:rPr>
              <w:t xml:space="preserve">dạng hàm</w:t>
            </w:r>
            <w:r>
              <w:t xml:space="preserve">, không chỉ độ lớn —</w:t>
            </w:r>
            <w:r>
              <w:t xml:space="preserve"> </w:t>
            </w:r>
            <w:r>
              <w:t xml:space="preserve">“</w:t>
            </w:r>
            <w:r>
              <w:t xml:space="preserve">có điều kiện theo bối cảnh</w:t>
            </w:r>
            <w:r>
              <w:t xml:space="preserve">”</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w:t>
            </w:r>
          </w:p>
        </w:tc>
        <w:tc>
          <w:tcPr/>
          <w:p>
            <w:pPr>
              <w:pStyle w:val="Compact"/>
              <w:jc w:val="left"/>
            </w:pPr>
            <w:r>
              <w:t xml:space="preserve">Chuyển đổi thể chế cực mạnh</w:t>
            </w:r>
            <w:r>
              <w:t xml:space="preserve"> </w:t>
            </w:r>
            <w:r>
              <w:rPr>
                <w:bCs/>
                <w:b/>
              </w:rPr>
              <w:t xml:space="preserve">hòa tan</w:t>
            </w:r>
            <w:r>
              <w:t xml:space="preserve"> </w:t>
            </w:r>
            <w:r>
              <w:t xml:space="preserve">chứ không chỉ dịch ngưỡng (điều kiện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điểm uốn ngoài miền; phần bù xuất khẩu 25,8%</w:t>
            </w:r>
          </w:p>
        </w:tc>
        <w:tc>
          <w:tcPr/>
          <w:p>
            <w:pPr>
              <w:pStyle w:val="Compact"/>
              <w:jc w:val="left"/>
            </w:pPr>
            <w:r>
              <w:t xml:space="preserve">Xác nhận</w:t>
            </w:r>
            <w:r>
              <w:t xml:space="preserve"> </w:t>
            </w:r>
            <w:r>
              <w:rPr>
                <w:bCs/>
                <w:b/>
              </w:rPr>
              <w:t xml:space="preserve">dự đoán biên trên</w:t>
            </w:r>
            <w:r>
              <w:t xml:space="preserve">; cơ chế biên tham gia (Melitz,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w:t>
            </w:r>
            <w:r>
              <w:t xml:space="preserve"> </w:t>
            </w:r>
            <m:oMath>
              <m:r>
                <m:rPr>
                  <m:sty m:val="p"/>
                </m:rPr>
                <m:t>+</m:t>
              </m:r>
              <m:r>
                <m:t>1</m:t>
              </m:r>
              <m:r>
                <m:rPr>
                  <m:sty m:val="p"/>
                </m:rPr>
                <m:t>,</m:t>
              </m:r>
              <m:r>
                <m:t>55</m:t>
              </m:r>
            </m:oMath>
            <w:r>
              <w:t xml:space="preserve">, lãnh đạo nữ</w:t>
            </w:r>
            <w:r>
              <w:t xml:space="preserve"> </w:t>
            </w:r>
            <m:oMath>
              <m:r>
                <m:rPr>
                  <m:sty m:val="p"/>
                </m:rPr>
                <m:t>+</m:t>
              </m:r>
              <m:r>
                <m:t>77</m:t>
              </m:r>
              <m:r>
                <m:rPr>
                  <m:sty m:val="p"/>
                </m:rPr>
                <m:t>,</m:t>
              </m:r>
              <m:r>
                <m:t>03</m:t>
              </m:r>
            </m:oMath>
            <w:r>
              <w:t xml:space="preserve"> </w:t>
            </w:r>
            <w:r>
              <w:t xml:space="preserve">điều tiết dương (</w:t>
            </w:r>
            <m:oMath>
              <m:r>
                <m:t>N</m:t>
              </m:r>
              <m:r>
                <m:rPr>
                  <m:sty m:val="p"/>
                </m:rPr>
                <m:t>=</m:t>
              </m:r>
              <m:r>
                <m:t>380</m:t>
              </m:r>
            </m:oMath>
            <w:r>
              <w:t xml:space="preserve">)</w:t>
            </w:r>
          </w:p>
        </w:tc>
        <w:tc>
          <w:tcPr/>
          <w:p>
            <w:pPr>
              <w:pStyle w:val="Compact"/>
              <w:jc w:val="left"/>
            </w:pPr>
            <w:r>
              <w:t xml:space="preserve">Bằng chứng đơn quốc gia cho</w:t>
            </w:r>
            <w:r>
              <w:t xml:space="preserve"> </w:t>
            </w:r>
            <w:r>
              <w:rPr>
                <w:bCs/>
                <w:b/>
              </w:rPr>
              <w:t xml:space="preserve">tầng quản trị</w:t>
            </w:r>
            <w:r>
              <w:t xml:space="preserve"> </w:t>
            </w:r>
            <w:r>
              <w:t xml:space="preserve">của CDCM</w:t>
            </w:r>
          </w:p>
        </w:tc>
      </w:tr>
    </w:tbl>
    <w:p>
      <w:pPr>
        <w:pStyle w:val="BodyText"/>
      </w:pPr>
      <w:r>
        <w:rPr>
          <w:iCs/>
          <w:i/>
        </w:rPr>
        <w:t xml:space="preserve">Ghi chú: Các con số trích nguyên từ Mục 5.6.1 và các mục kết quả tương ứng (Mục 4.2–4.9). Nhóm ICRV: I = tiên tiến đổi mới; III = trung bình cao; IV = chuyển đổi thu nhập trung bình thấp; VI = SIDS. Nguồn: tác giả tổng hợp.</w:t>
      </w:r>
    </w:p>
    <w:p>
      <w:pPr>
        <w:pStyle w:val="BodyText"/>
      </w:pPr>
      <w:r>
        <w:t xml:space="preserve">Đọc dọc Bảng 5.1, toàn bộ mười nghiên cứu thành phần cùng chương sách bổ sung — nghiên cứu nền tảng 17 nền (P1), một phân tích tổng hợp toàn cầu (P6), năm ước lượng đơn quốc gia trải khắp phổ thể chế (P2–P5, P9), một kiểm định toàn mẫu 50 nền (P7), hai trường hợp biên (P8 SIDS, P10 Nhật Bản), và bằng chứng tầng quản trị từ chương sách — hội tụ về</w:t>
      </w:r>
      <w:r>
        <w:t xml:space="preserve"> </w:t>
      </w:r>
      <w:r>
        <w:rPr>
          <w:bCs/>
          <w:b/>
        </w:rPr>
        <w:t xml:space="preserve">một tuyên bố lý thuyết duy nhất có thể bác bỏ</w:t>
      </w:r>
      <w:r>
        <w:t xml:space="preserve">:</w:t>
      </w:r>
      <w:r>
        <w:t xml:space="preserve"> </w:t>
      </w:r>
      <w:r>
        <w:rPr>
          <w:iCs/>
          <w:i/>
        </w:rPr>
        <w:t xml:space="preserve">mức độ quốc tế hóa cải thiện hiệu quả doanh nghiệp theo một dạng hàm mà bản thân dạng hàm đó là một hàm của vị trí thể chế</w:t>
      </w:r>
      <w:r>
        <w:t xml:space="preserve">. Cụ thể, độ dày đệm thể chế quyết định liệu quan hệ I–P là gần tuyến tính dương (biên trên), chữ U ngược sắc nét (chế độ chuyển đổi), hay mất cấu trúc và đảo dấu (biên dưới). Tuyên bố này nâng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lên một mệnh đề định lượng kiểm định được (thể chế điều tiết</w:t>
      </w:r>
      <w:r>
        <w:t xml:space="preserve"> </w:t>
      </w:r>
      <w:r>
        <w:rPr>
          <w:iCs/>
          <w:i/>
        </w:rPr>
        <w:t xml:space="preserve">dấu và dạng</w:t>
      </w:r>
      <w:r>
        <w:t xml:space="preserve"> </w:t>
      </w:r>
      <w:r>
        <w:t xml:space="preserve">hiệu ứng), và xác định tường minh điểm — chế độ SIDS — mà tại đó cả họ lý thuyết chữ U ngược không còn ứng dụng được.</w:t>
      </w:r>
    </w:p>
    <w:bookmarkEnd w:id="29"/>
    <w:bookmarkEnd w:id="30"/>
    <w:bookmarkStart w:id="38" w:name="so-sánh-với-nghiên-cứu-trước-đây"/>
    <w:p>
      <w:pPr>
        <w:pStyle w:val="Heading2"/>
      </w:pPr>
      <w:r>
        <w:t xml:space="preserve">5.2 So sánh với nghiên cứu trước đây</w:t>
      </w:r>
    </w:p>
    <w:bookmarkStart w:id="31"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31"/>
    <w:bookmarkStart w:id="32"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32"/>
    <w:bookmarkStart w:id="33"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33"/>
    <w:bookmarkStart w:id="34"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đặc tả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đặc tả. Hai đặc điểm này, kết hợp với tam giác hóa giữa phân tích tổng hợp và ước lượng gộp ở Mục 5.2.5, đặt cấu trúc ba vùng trên nền tảng xác nhận chéo chứ không phải trên tự do bậc đặc tả.</w:t>
      </w:r>
    </w:p>
    <w:bookmarkEnd w:id="34"/>
    <w:bookmarkStart w:id="35"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35"/>
    <w:bookmarkStart w:id="36"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36"/>
    <w:bookmarkStart w:id="37"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37"/>
    <w:bookmarkEnd w:id="38"/>
    <w:bookmarkStart w:id="49" w:name="đóng-góp-lý-thuyết"/>
    <w:p>
      <w:pPr>
        <w:pStyle w:val="Heading2"/>
      </w:pPr>
      <w:r>
        <w:t xml:space="preserve">5.3 Đóng góp lý thuyết</w:t>
      </w:r>
    </w:p>
    <w:bookmarkStart w:id="39" w:name="khung-đánh-giá-đóng-góp-lý-thuyết"/>
    <w:p>
      <w:pPr>
        <w:pStyle w:val="Heading3"/>
      </w:pPr>
      <w:r>
        <w:t xml:space="preserve">5.3.0 Khung đánh giá đóng góp lý thuyết</w:t>
      </w:r>
    </w:p>
    <w:p>
      <w:pPr>
        <w:pStyle w:val="FirstParagraph"/>
      </w:pPr>
      <w:r>
        <w:t xml:space="preserve">Trước khi trình bày từng đóng góp, mục này định vị chúng theo hai tiêu chí được chấp nhận rộng rãi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 câu hỏi</w:t>
      </w:r>
      <w:r>
        <w:t xml:space="preserve"> </w:t>
      </w:r>
      <w:r>
        <w:rPr>
          <w:bCs/>
          <w:b/>
        </w:rPr>
        <w:t xml:space="preserve">“</w:t>
      </w:r>
      <w:r>
        <w:rPr>
          <w:bCs/>
          <w:b/>
        </w:rPr>
        <w:t xml:space="preserve">cái gì – như thế nào – vì sao</w:t>
      </w:r>
      <w:r>
        <w:rPr>
          <w:bCs/>
          <w:b/>
        </w:rPr>
        <w:t xml:space="preserve">”</w:t>
      </w:r>
      <w:r>
        <w:t xml:space="preserve"> </w:t>
      </w:r>
      <w:r>
        <w:t xml:space="preserve">mà một đóng góp lý thuyết phải trả lời (Whetten, 1989). Theo Corley và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 luận án định vị mỗi đóng góp trên cả hai trục này thay vì chỉ tuyên bố tính mới.</w:t>
      </w:r>
    </w:p>
    <w:p>
      <w:pPr>
        <w:pStyle w:val="BodyText"/>
      </w:pPr>
      <w:r>
        <w:t xml:space="preserve">Điểm phân biệt cốt lõi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được giữ tường minh: việc tái xác nhận chữ U ngược ở từng bối cảnh đơn lẻ (P3, P4, P5) tự nó là</w:t>
      </w:r>
      <w:r>
        <w:t xml:space="preserve"> </w:t>
      </w:r>
      <w:r>
        <w:rPr>
          <w:iCs/>
          <w:i/>
        </w:rPr>
        <w:t xml:space="preserve">nhân rộng</w:t>
      </w:r>
      <w:r>
        <w:t xml:space="preserve"> </w:t>
      </w:r>
      <w:r>
        <w:t xml:space="preserve">có giá trị xác nhận nhưng không phải đóng góp lý thuyết mới; đóng góp nằm ở</w:t>
      </w:r>
      <w:r>
        <w:t xml:space="preserve"> </w:t>
      </w:r>
      <w:r>
        <w:rPr>
          <w:iCs/>
          <w:i/>
        </w:rPr>
        <w:t xml:space="preserve">cấu trúc hóa</w:t>
      </w:r>
      <w:r>
        <w:t xml:space="preserve"> </w:t>
      </w:r>
      <w:r>
        <w:t xml:space="preserve">sự biến thiên xuyên bối cảnh của dạng hàm đó thành một quy luật kiểm định được. Tương ứng, mỗi đóng góp dưới đây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 tường minh — đặc điểm mà khung CDCM–ICRV–FIP đáp ứng vì nó dự đoán</w:t>
      </w:r>
      <w:r>
        <w:t xml:space="preserve"> </w:t>
      </w:r>
      <w:r>
        <w:rPr>
          <w:iCs/>
          <w:i/>
        </w:rPr>
        <w:t xml:space="preserve">trước</w:t>
      </w:r>
      <w:r>
        <w:t xml:space="preserve"> </w:t>
      </w:r>
      <w:r>
        <w:t xml:space="preserve">vị trí và sự tồn tại của điểm uốn theo chế độ thể chế, do đó có thể sai nếu dữ liệu không khớp. Bốn đóng góp dưới đây (5.3.1–5.3.7) lần lượt trả lời:</w:t>
      </w:r>
      <w:r>
        <w:t xml:space="preserve"> </w:t>
      </w:r>
      <w:r>
        <w:rPr>
          <w:iCs/>
          <w:i/>
        </w:rPr>
        <w:t xml:space="preserve">cái gì</w:t>
      </w:r>
      <w:r>
        <w:t xml:space="preserve"> </w:t>
      </w:r>
      <w:r>
        <w:t xml:space="preserve">mới được đưa vào (DAI là nguồn lực tình huống; FIP; ICRV; điều kiện ổn định thể chế),</w:t>
      </w:r>
      <w:r>
        <w:t xml:space="preserve"> </w:t>
      </w:r>
      <w:r>
        <w:rPr>
          <w:iCs/>
          <w:i/>
        </w:rPr>
        <w:t xml:space="preserve">như thế nào</w:t>
      </w:r>
      <w:r>
        <w:t xml:space="preserve"> </w:t>
      </w:r>
      <w:r>
        <w:t xml:space="preserve">các cấu trúc này vận hành (qua nâng mặt bằng vs uốn đường cong; qua dịch chuyển vs hòa tan điểm uốn), và</w:t>
      </w:r>
      <w:r>
        <w:t xml:space="preserve"> </w:t>
      </w:r>
      <w:r>
        <w:rPr>
          <w:iCs/>
          <w:i/>
        </w:rPr>
        <w:t xml:space="preserve">vì sao bây giờ</w:t>
      </w:r>
      <w:r>
        <w:t xml:space="preserve"> </w:t>
      </w:r>
      <w:r>
        <w:t xml:space="preserve">(kỷ nguyên số và sự sẵn có lần đầu của dữ liệu doanh nghiệp hài hòa cho 50 nền châu Á – Thái Bình Dương, gồm Nhật Bản 2025).</w:t>
      </w:r>
    </w:p>
    <w:bookmarkEnd w:id="39"/>
    <w:bookmarkStart w:id="40"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40"/>
    <w:bookmarkStart w:id="41"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41"/>
    <w:bookmarkStart w:id="42"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42"/>
    <w:bookmarkStart w:id="43"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43"/>
    <w:bookmarkStart w:id="44"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44"/>
    <w:bookmarkStart w:id="45"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45"/>
    <w:bookmarkStart w:id="46"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46"/>
    <w:bookmarkStart w:id="47"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47"/>
    <w:bookmarkStart w:id="48" w:name="X424c76d92b37ed9a157ad7d30d86350b2c8bf81"/>
    <w:p>
      <w:pPr>
        <w:pStyle w:val="Heading3"/>
      </w:pPr>
      <w:r>
        <w:t xml:space="preserve">5.3.8 Điều kiện phạm vi và cơ sở nhận dạng nhân quả của khung CDCM</w:t>
      </w:r>
    </w:p>
    <w:p>
      <w:pPr>
        <w:pStyle w:val="FirstParagraph"/>
      </w:pPr>
      <w:r>
        <w:t xml:space="preserve">Một đóng góp lý thuyết đạt chuẩn quốc tế phải nêu rõ không chỉ</w:t>
      </w:r>
      <w:r>
        <w:t xml:space="preserve"> </w:t>
      </w:r>
      <w:r>
        <w:rPr>
          <w:iCs/>
          <w:i/>
        </w:rPr>
        <w:t xml:space="preserve">nó khẳng định điều gì</w:t>
      </w:r>
      <w:r>
        <w:t xml:space="preserve"> </w:t>
      </w:r>
      <w:r>
        <w:t xml:space="preserve">mà cả</w:t>
      </w:r>
      <w:r>
        <w:t xml:space="preserve"> </w:t>
      </w:r>
      <w:r>
        <w:rPr>
          <w:iCs/>
          <w:i/>
        </w:rPr>
        <w:t xml:space="preserve">trong những điều kiện nào điều đó đúng</w:t>
      </w:r>
      <w:r>
        <w:t xml:space="preserve"> </w:t>
      </w:r>
      <w:r>
        <w:t xml:space="preserve">và</w:t>
      </w:r>
      <w:r>
        <w:t xml:space="preserve"> </w:t>
      </w:r>
      <w:r>
        <w:rPr>
          <w:iCs/>
          <w:i/>
        </w:rPr>
        <w:t xml:space="preserve">cơ sở suy luận nào nâng đỡ khẳng định</w:t>
      </w:r>
      <w:r>
        <w:t xml:space="preserve"> </w:t>
      </w:r>
      <w:r>
        <w:t xml:space="preserve">(Santangelo &amp; Verbeke, 2022). Mục này phát biểu tường minh hai điều đó cho khung CDCM, tách bạch khỏi các hạn chế nghiên cứu (Mục 5.5) vốn nói về điểm yếu của thiết kế chứ không phải ranh giới của lý thuyết.</w:t>
      </w:r>
    </w:p>
    <w:p>
      <w:pPr>
        <w:pStyle w:val="BodyText"/>
      </w:pPr>
      <w:r>
        <w:rPr>
          <w:bCs/>
          <w:b/>
        </w:rPr>
        <w:t xml:space="preserve">Điều kiện phạm vi (boundary conditions).</w:t>
      </w:r>
      <w:r>
        <w:t xml:space="preserve"> </w:t>
      </w:r>
      <w:r>
        <w:t xml:space="preserve">Khung CDCM được phát biểu trong một miền ứng dụng xác định, và chính sự xác định này làm cho nó có thể bị bác bỏ. Thứ nhất,</w:t>
      </w:r>
      <w:r>
        <w:t xml:space="preserve"> </w:t>
      </w:r>
      <w:r>
        <w:rPr>
          <w:iCs/>
          <w:i/>
        </w:rPr>
        <w:t xml:space="preserve">đơn vị và thước đo</w:t>
      </w:r>
      <w:r>
        <w:t xml:space="preserve">: khung áp dụng cho quan hệ ở</w:t>
      </w:r>
      <w:r>
        <w:t xml:space="preserve"> </w:t>
      </w:r>
      <w:r>
        <w:rPr>
          <w:bCs/>
          <w:b/>
        </w:rPr>
        <w:t xml:space="preserve">cấp doanh nghiệp</w:t>
      </w:r>
      <w:r>
        <w:t xml:space="preserve"> </w:t>
      </w:r>
      <w:r>
        <w:t xml:space="preserve">với mức độ quốc tế hóa được đo bằng</w:t>
      </w:r>
      <w:r>
        <w:t xml:space="preserve"> </w:t>
      </w:r>
      <w:r>
        <w:rPr>
          <w:bCs/>
          <w:b/>
        </w:rPr>
        <w:t xml:space="preserve">cường độ xuất khẩu (chiều doanh số của DOI)</w:t>
      </w:r>
      <w:r>
        <w:t xml:space="preserve">; các chiều khác của quốc tế hóa (phạm vi địa lý, chiều sâu cam kết qua đầu tư trực tiếp ra nước ngoài) nằm ngoài phạm vi đã kiểm định và là điều kiện biên cần nhân rộng (Mục 5.5.3.3). Thứ hai,</w:t>
      </w:r>
      <w:r>
        <w:t xml:space="preserve"> </w:t>
      </w:r>
      <w:r>
        <w:rPr>
          <w:iCs/>
          <w:i/>
        </w:rPr>
        <w:t xml:space="preserve">miền thể chế</w:t>
      </w:r>
      <w:r>
        <w:t xml:space="preserve">: khung được hiệu chỉnh và kiểm định trên</w:t>
      </w:r>
      <w:r>
        <w:t xml:space="preserve"> </w:t>
      </w:r>
      <w:r>
        <w:rPr>
          <w:bCs/>
          <w:b/>
        </w:rPr>
        <w:t xml:space="preserve">phổ thể chế châu Á và Thái Bình Dương</w:t>
      </w:r>
      <w:r>
        <w:t xml:space="preserve"> </w:t>
      </w:r>
      <w:r>
        <w:t xml:space="preserve">giai đoạn 2006–2026; việc mở rộng sang các khu vực có cấu hình thể chế khác (Mỹ Latinh, châu Phi hạ Sahara) là một kiểm định phạm vi mở. Thứ ba,</w:t>
      </w:r>
      <w:r>
        <w:t xml:space="preserve"> </w:t>
      </w:r>
      <w:r>
        <w:rPr>
          <w:iCs/>
          <w:i/>
        </w:rPr>
        <w:t xml:space="preserve">giả định cấu trúc tối thiểu</w:t>
      </w:r>
      <w:r>
        <w:t xml:space="preserve">: khung ngầm giả định ba điều kiện cấu trúc — thị trường nội địa đủ lớn, chi phí thương mại không quá cao, và tồn tại hỗ trợ thể chế tối thiểu — được thỏa mãn; chính việc</w:t>
      </w:r>
      <w:r>
        <w:t xml:space="preserve"> </w:t>
      </w:r>
      <w:r>
        <w:rPr>
          <w:bCs/>
          <w:b/>
        </w:rPr>
        <w:t xml:space="preserve">định danh trường hợp các giả định này đồng thời bị vi phạm</w:t>
      </w:r>
      <w:r>
        <w:t xml:space="preserve"> </w:t>
      </w:r>
      <w:r>
        <w:t xml:space="preserve">(chế độ SIDS, qua khái niệm FIP) là cách luận án biến điều kiện biên ngầm của cả họ lý thuyết chữ U ngược thành một mệnh đề tường minh. Khung do đó tự nêu ranh giới ứng dụng của chính nó: tại biên dưới cực trị của phổ thể chế, dạng hàm chữ U ngược không còn là mô tả đúng.</w:t>
      </w:r>
    </w:p>
    <w:p>
      <w:pPr>
        <w:pStyle w:val="BodyText"/>
      </w:pPr>
      <w:r>
        <w:rPr>
          <w:bCs/>
          <w:b/>
        </w:rPr>
        <w:t xml:space="preserve">Cơ sở nhận dạng nhân quả.</w:t>
      </w:r>
      <w:r>
        <w:t xml:space="preserve"> </w:t>
      </w:r>
      <w:r>
        <w:t xml:space="preserve">Luận án giữ thái độ suy luận thận trọng và nhất quán: thiết kế dữ liệu là</w:t>
      </w:r>
      <w:r>
        <w:t xml:space="preserve"> </w:t>
      </w:r>
      <w:r>
        <w:rPr>
          <w:bCs/>
          <w:b/>
        </w:rPr>
        <w:t xml:space="preserve">chuỗi cắt ngang lặp lại</w:t>
      </w:r>
      <w:r>
        <w:t xml:space="preserve"> </w:t>
      </w:r>
      <w:r>
        <w:t xml:space="preserve">(không phải dữ liệu bảng theo dõi cùng doanh nghiệp), nên các phát biểu được hiểu là</w:t>
      </w:r>
      <w:r>
        <w:t xml:space="preserve"> </w:t>
      </w:r>
      <w:r>
        <w:rPr>
          <w:bCs/>
          <w:b/>
        </w:rPr>
        <w:t xml:space="preserve">quan hệ cấu trúc có điều kiện</w:t>
      </w:r>
      <w:r>
        <w:t xml:space="preserve"> </w:t>
      </w:r>
      <w:r>
        <w:t xml:space="preserve">chứ không phải hiệu ứng nhân quả điểm được nhận dạng chặt. Tuy vậy, độ tin cậy của luận điểm trung tâm không dựa trên một ước lượng đơn lẻ mà trên</w:t>
      </w:r>
      <w:r>
        <w:t xml:space="preserve"> </w:t>
      </w:r>
      <w:r>
        <w:rPr>
          <w:bCs/>
          <w:b/>
        </w:rPr>
        <w:t xml:space="preserve">tam giác hóa nhiều nguồn nhận dạng có thiên lệch không trùng nhau</w:t>
      </w:r>
      <w:r>
        <w:t xml:space="preserve">: (i) biến công cụ cho chấp nhận số với kiểm định độ mạnh công cụ (Mục 3.5.6.1), cho hệ số DAI được công cụ hóa gần</w:t>
      </w:r>
      <w:r>
        <w:t xml:space="preserve"> </w:t>
      </w:r>
      <w:r>
        <w:t xml:space="preserve">“</w:t>
      </w:r>
      <w:r>
        <w:t xml:space="preserve">không</w:t>
      </w:r>
      <w:r>
        <w:t xml:space="preserve">”</w:t>
      </w:r>
      <w:r>
        <w:t xml:space="preserve"> </w:t>
      </w:r>
      <w:r>
        <w:t xml:space="preserve">— gợi ý phần lớn tương quan DAI–hiệu quả mang tính chọn lọc chứ không nhân quả, một kết luận</w:t>
      </w:r>
      <w:r>
        <w:t xml:space="preserve"> </w:t>
      </w:r>
      <w:r>
        <w:rPr>
          <w:iCs/>
          <w:i/>
        </w:rPr>
        <w:t xml:space="preserve">khiêm tốn hóa</w:t>
      </w:r>
      <w:r>
        <w:t xml:space="preserve"> </w:t>
      </w:r>
      <w:r>
        <w:t xml:space="preserve">chứ không thổi phồng; (ii) giới hạn Oster về thiên lệch do biến bỏ sót không quan sát (Mục 3.5.6.2); (iii) kiểm định ổn định hệ số Paternoster xuyên đợt khảo sát (P5:</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(iv)</w:t>
      </w:r>
      <w:r>
        <w:t xml:space="preserve"> </w:t>
      </w:r>
      <w:r>
        <w:rPr>
          <w:bCs/>
          <w:b/>
        </w:rPr>
        <w:t xml:space="preserve">tính nhất quán về dấu xuyên nhiều đặc tả</w:t>
      </w:r>
      <w:r>
        <w:t xml:space="preserve"> </w:t>
      </w:r>
      <w:r>
        <w:t xml:space="preserve">như nguyên tắc suy luận nền tảng (Mục 3.5.6.3); và (v) sự hội tụ giữa phân tích tổng hợp (P6) và ước lượng gộp cấp doanh nghiệp (P7) — hai phương pháp chịu các nguồn thiên lệch khác nhau nhưng cùng định vị thể chế là biến điều tiết then chốt (Mục 5.2.5). Khi năm nguồn nhận dạng với điểm yếu bù trừ lẫn nhau cùng chỉ về một kết luận, luận điểm cấu trúc trở nên khó quy về tạo tác của một quy trình phân tích đơn lẻ, ngay cả khi từng nguồn riêng lẻ không đủ để nhận dạng nhân quả điểm. Đây chính là chuẩn suy luận mà tài liệu kinh doanh quốc tế đương đại kỳ vọng ở thiết kế quan sát đa bối cảnh.</w:t>
      </w:r>
    </w:p>
    <w:bookmarkEnd w:id="48"/>
    <w:bookmarkEnd w:id="49"/>
    <w:bookmarkStart w:id="58"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50"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50"/>
    <w:bookmarkStart w:id="51"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51"/>
    <w:bookmarkStart w:id="52"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52"/>
    <w:bookmarkStart w:id="53"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53"/>
    <w:bookmarkStart w:id="54"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54"/>
    <w:bookmarkStart w:id="55"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55"/>
    <w:bookmarkStart w:id="56"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56"/>
    <w:bookmarkStart w:id="57"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57"/>
    <w:bookmarkEnd w:id="58"/>
    <w:bookmarkStart w:id="68" w:name="hạn-chế-và-hướng-nghiên-cứu-tương-lai"/>
    <w:p>
      <w:pPr>
        <w:pStyle w:val="Heading2"/>
      </w:pPr>
      <w:r>
        <w:t xml:space="preserve">5.5 Hạn chế và hướng nghiên cứu tương lai</w:t>
      </w:r>
    </w:p>
    <w:bookmarkStart w:id="59"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59"/>
    <w:bookmarkStart w:id="60"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60"/>
    <w:bookmarkStart w:id="61"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61"/>
    <w:bookmarkStart w:id="62"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62"/>
    <w:bookmarkStart w:id="63"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63"/>
    <w:bookmarkStart w:id="64"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64"/>
    <w:bookmarkStart w:id="65"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65"/>
    <w:bookmarkStart w:id="66"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66"/>
    <w:bookmarkStart w:id="67"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67"/>
    <w:bookmarkEnd w:id="68"/>
    <w:bookmarkStart w:id="73" w:name="kết-luận"/>
    <w:p>
      <w:pPr>
        <w:pStyle w:val="Heading2"/>
      </w:pPr>
      <w:r>
        <w:t xml:space="preserve">5.6 Kết luận</w:t>
      </w:r>
    </w:p>
    <w:bookmarkStart w:id="69"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02"/>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02"/>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02"/>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02"/>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02"/>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02"/>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02"/>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02"/>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02"/>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69"/>
    <w:bookmarkStart w:id="70"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70"/>
    <w:bookmarkStart w:id="71"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71"/>
    <w:bookmarkStart w:id="72"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bookmarkEnd w:id="72"/>
    <w:bookmarkEnd w:id="7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2026-06-23T11:51:54Z</dcterms:created>
  <dcterms:modified xsi:type="dcterms:W3CDTF">2026-06-23T11:51:54Z</dcterms:modified>
</cp:coreProperties>
</file>

<file path=docProps/custom.xml><?xml version="1.0" encoding="utf-8"?>
<Properties xmlns="http://schemas.openxmlformats.org/officeDocument/2006/custom-properties" xmlns:vt="http://schemas.openxmlformats.org/officeDocument/2006/docPropsVTypes"/>
</file>