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 07–0, 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9 nền kinh tế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9 nền kinh tế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chín nền kinh tế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 "digital shield effect",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9 nền kinh tế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 3–46, 2% FSTS, TCI là level-shifter có ý nghĩa.</w:t>
      </w:r>
      <w:r>
        <w:t xml:space="preserve"> </w:t>
      </w:r>
      <w:r>
        <w:rPr>
          <w:bCs/>
          <w:b/>
        </w:rPr>
        <w:t xml:space="preserve">P4</w:t>
      </w:r>
      <w:r>
        <w:t xml:space="preserve"> </w:t>
      </w:r>
      <w:r>
        <w:t xml:space="preserve">(Singapore, MIR, under review): kiểm định tại Nhóm I ICRV, turning point ≈ 88, 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 78%, Paternoster z = 0, 82, p =, 412).</w:t>
      </w:r>
      <w:r>
        <w:t xml:space="preserve"> </w:t>
      </w:r>
      <w:r>
        <w:rPr>
          <w:bCs/>
          <w:b/>
        </w:rPr>
        <w:t xml:space="preserve">P6</w:t>
      </w:r>
      <w:r>
        <w:t xml:space="preserve"> </w:t>
      </w:r>
      <w:r>
        <w:t xml:space="preserve">(meta-analysis ba tầng, IBR, under review): k = 238 nghiên cứu, r̄ = 0, 074, I² = 62, 4%, gradient ICRV Q_M = 17, 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2026-06-08T01:14:55Z</dcterms:created>
  <dcterms:modified xsi:type="dcterms:W3CDTF">2026-06-08T01:14:55Z</dcterms:modified>
</cp:coreProperties>
</file>

<file path=docProps/custom.xml><?xml version="1.0" encoding="utf-8"?>
<Properties xmlns="http://schemas.openxmlformats.org/officeDocument/2006/custom-properties" xmlns:vt="http://schemas.openxmlformats.org/officeDocument/2006/docPropsVTypes"/>
</file>