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 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literature với 170 nghiên cứu và 32 quốc gia, tìm thấy r ≈ 0, 07–0, 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 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 074 [KTC 95%: 0, 060; 0, 088], I² = 62, 4%, Q_M(ICRV) = 17, 35 (df = 4, p =,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 "hiệu ứng lá chắn số" (digital shield effect). Nghiên cứu thành phần P2 kiểm định cụ thể với dữ liệu doanh nghiệp Trung Quốc và tìm thấy cấu trúc cubic inverted-U với ngưỡng FSTS tối ưu khoảng 47, 8%,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Nghiên cứu P7,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bối cảnh mà quốc tế hóa là gánh nặng sinh tồn, không phải lựa chọn chiến lược dựa trên lợi thế cạnh tranh. Nghiên cứu thành phần P8, Nghiên cứu P8, kiểm định H1b bằng dữ liệu WBES từ các nền kinh tế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9" w:name="X2e72411c23c34d41d1942bd5d4fbf8ae22da5d2"/>
    <w:p>
      <w:pPr>
        <w:pStyle w:val="Heading2"/>
      </w:pPr>
      <w:r>
        <w:t xml:space="preserve">2.5 Mô hình nghiên cứu và hệ giả thuyết</w:t>
      </w:r>
    </w:p>
    <w:bookmarkStart w:id="40"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BodyText"/>
      </w:pPr>
      <w:r>
        <w:drawing>
          <wp:inline>
            <wp:extent cx="5334000" cy="3298888"/>
            <wp:effectExtent b="0" l="0" r="0" t="0"/>
            <wp:docPr descr="Hình 2.1. Khung khái niệm tích hợp đa tầng CDCM cho quan hệ Quốc tế hóa–Hiệu quả tại châu Á" title="" id="38" name="Picture"/>
            <a:graphic>
              <a:graphicData uri="http://schemas.openxmlformats.org/drawingml/2006/picture">
                <pic:pic>
                  <pic:nvPicPr>
                    <pic:cNvPr descr="figures/fig_2_1_cdcm_conceptual_model.png" id="39" name="Picture"/>
                    <pic:cNvPicPr>
                      <a:picLocks noChangeArrowheads="1" noChangeAspect="1"/>
                    </pic:cNvPicPr>
                  </pic:nvPicPr>
                  <pic:blipFill>
                    <a:blip r:embed="rId37"/>
                    <a:stretch>
                      <a:fillRect/>
                    </a:stretch>
                  </pic:blipFill>
                  <pic:spPr bwMode="auto">
                    <a:xfrm>
                      <a:off x="0" y="0"/>
                      <a:ext cx="5334000" cy="3298888"/>
                    </a:xfrm>
                    <a:prstGeom prst="rect">
                      <a:avLst/>
                    </a:prstGeom>
                    <a:noFill/>
                    <a:ln w="9525">
                      <a:noFill/>
                      <a:headEnd/>
                      <a:tailEnd/>
                    </a:ln>
                  </pic:spPr>
                </pic:pic>
              </a:graphicData>
            </a:graphic>
          </wp:inline>
        </w:drawing>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0"/>
    <w:bookmarkStart w:id="41"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41"/>
    <w:bookmarkStart w:id="42" w:name="Xdbf0ae64633523b25c46a68390b7cec268e3e1b"/>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2"/>
    <w:bookmarkStart w:id="43"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3"/>
    <w:bookmarkStart w:id="44"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4"/>
    <w:bookmarkStart w:id="45"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5"/>
    <w:bookmarkStart w:id="46"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6"/>
    <w:bookmarkStart w:id="47"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 82, p = .412, không bác bỏ bằng nhau) cung cấp cơ sở thực nghiệm bổ sung cho việc kiểm định H6 ở cấp độ luận án.</w:t>
      </w:r>
    </w:p>
    <w:p>
      <w:r>
        <w:pict>
          <v:rect style="width:0;height:1.5pt" o:hralign="center" o:hrstd="t" o:hr="t"/>
        </w:pict>
      </w:r>
    </w:p>
    <w:bookmarkEnd w:id="47"/>
    <w:bookmarkStart w:id="48" w:name="Xe7d8e87fd4c6817ebf83bfc9a906e5cc228db6c"/>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Emerging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SIDS (9 nền kinh tế,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và E1a–E1b (kiểm định định hướng gradient ICRV, lồng dưới H5). Các ký hiệu con này phục vụ độ chính xác kỹ thuật của từng mô hình và không làm thay đổi hệ giả thuyết trọng tâm H1–H6/H1b của luận án.</w:t>
      </w:r>
    </w:p>
    <w:bookmarkEnd w:id="48"/>
    <w:bookmarkEnd w:id="49"/>
    <w:bookmarkStart w:id="50"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2026-06-08T01:14:55Z</dcterms:created>
  <dcterms:modified xsi:type="dcterms:W3CDTF">2026-06-08T01:14:55Z</dcterms:modified>
</cp:coreProperties>
</file>

<file path=docProps/custom.xml><?xml version="1.0" encoding="utf-8"?>
<Properties xmlns="http://schemas.openxmlformats.org/officeDocument/2006/custom-properties" xmlns:vt="http://schemas.openxmlformats.org/officeDocument/2006/docPropsVTypes"/>
</file>