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c837cd1eb674a4290cf22d63ca57a264d2a76b7"/>
    <w:p>
      <w:pPr>
        <w:pStyle w:val="Heading2"/>
      </w:pPr>
      <w:r>
        <w:t xml:space="preserve">3.2 Phase 1,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9849ea55f293328d7af4750149a944f3b0c8358"/>
    <w:p>
      <w:pPr>
        <w:pStyle w:val="Heading2"/>
      </w:pPr>
      <w:r>
        <w:t xml:space="preserve">3.3 Phase 2,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Emerging, Frontier, SIDS). Quy mô này là lớn nhất cho khu vực trong literature internationalization–performance, gồm cả boundary case SIDS (9 nước, n=1.469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f2ea72fa9349ddc4b9e21f5ef590f4b93e5e741"/>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63a53880123ab83c85eec08c7e72bc2b9a6750"/>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 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3fee737c788958d2a80253168f73f07013a660d"/>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 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 8% FSTS) sau hơn một thập kỷ chuyển đổi số.</w:t>
      </w:r>
    </w:p>
    <w:bookmarkEnd w:id="42"/>
    <w:bookmarkStart w:id="43" w:name="Xf9ed1fe34c2c63c9bc24f636afa94c70ed1bc7e"/>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63c3f2fc119ff50eda9388719407b1c32636347"/>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 6% FSTS [CI bootstrap [53%, 253%]]</w:t>
      </w:r>
      <w:r>
        <w:t xml:space="preserve"> </w:t>
      </w:r>
      <w:r>
        <w:t xml:space="preserve">Lưu ý: Lind–Mehlum p = 0, 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p>
    <w:p>
      <w:pPr>
        <w:numPr>
          <w:ilvl w:val="0"/>
          <w:numId w:val="1005"/>
        </w:numPr>
        <w:pStyle w:val="Compact"/>
      </w:pPr>
      <w:r>
        <w:t xml:space="preserve">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 119 (p = 0, 005) trong mẫu đầy đủ; β₆ = +2, 821 (p = 0, 003, F-test) trong mẫu chỉ xuất khẩu (N = 84, lưu ý: công suất thống kê ≈ 16%)</w:t>
      </w:r>
    </w:p>
    <w:p>
      <w:pPr>
        <w:pStyle w:val="FirstParagraph"/>
      </w:pPr>
      <w:r>
        <w:rPr>
          <w:bCs/>
          <w:b/>
        </w:rPr>
        <w:t xml:space="preserve">Bảng định nghĩa biến,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04bbfb0acfd55030625a39eaa775bb872b6e6a7"/>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 4% (2012), 47, 2% (2024), và 48, 8% (pooled)</w:t>
      </w:r>
      <w:r>
        <w:t xml:space="preserve"> </w:t>
      </w:r>
      <w:r>
        <w:t xml:space="preserve">Kiểm định ổn định cấu trúc: Paternoster (1998) z-test: z(FSTS) = +0, 82 (p = 0, 412); z(FSTS²) = −0, 61 (p = 0, 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 28 (2012, p &lt; 0, 001), +0, 43 (2024, p &lt; 0, 001),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 2012 − β̂₁, 2024) / √(SE²₁, 2012 + SE²₁, 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p>
    <w:p>
      <w:pPr>
        <w:numPr>
          <w:ilvl w:val="0"/>
          <w:numId w:val="1007"/>
        </w:numPr>
        <w:pStyle w:val="Compact"/>
      </w:pPr>
      <w:r>
        <w:t xml:space="preserve">β₅(CDDXK_c × NLCN_z) + β₆(CDDXK_c² × NLCN_z)</w:t>
      </w:r>
    </w:p>
    <w:p>
      <w:pPr>
        <w:numPr>
          <w:ilvl w:val="0"/>
          <w:numId w:val="1007"/>
        </w:numPr>
        <w:pStyle w:val="Compact"/>
      </w:pPr>
      <w:r>
        <w:t xml:space="preserve">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 26 (p = 0, 039, không qua Bonferroni α* = 0, 017) → H4b (null capability-curvature moderation) được chấp nhận</w:t>
      </w:r>
    </w:p>
    <w:p>
      <w:pPr>
        <w:pStyle w:val="FirstParagraph"/>
      </w:pPr>
      <w:r>
        <w:rPr>
          <w:bCs/>
          <w:b/>
        </w:rPr>
        <w:t xml:space="preserve">Bảng định nghĩa biến,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5"/>
    <w:bookmarkStart w:id="47" w:name="X5c10254027dad606dd706416fcb9325216bce7a"/>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8"/>
        </w:numPr>
        <w:pStyle w:val="Compact"/>
      </w:pPr>
      <w:r>
        <w:rPr>
          <w:bCs/>
          <w:b/>
        </w:rPr>
        <w:t xml:space="preserve">lnNSLD_it</w:t>
      </w:r>
      <w:r>
        <w:t xml:space="preserve">: ln(năng suất lao động) = ln(doanh thu / lao động thường trực), biến phụ thuộc</w:t>
      </w:r>
    </w:p>
    <w:p>
      <w:pPr>
        <w:numPr>
          <w:ilvl w:val="0"/>
          <w:numId w:val="1008"/>
        </w:numPr>
        <w:pStyle w:val="Compact"/>
      </w:pPr>
      <w:r>
        <w:rPr>
          <w:bCs/>
          <w:b/>
        </w:rPr>
        <w:t xml:space="preserve">CDDXK_c_it</w:t>
      </w:r>
      <w:r>
        <w:t xml:space="preserve">: cường độ xuất khẩu mean-centred, FSTS_c = (d3c/100) − mean_pool(FSTS)</w:t>
      </w:r>
    </w:p>
    <w:p>
      <w:pPr>
        <w:numPr>
          <w:ilvl w:val="0"/>
          <w:numId w:val="1008"/>
        </w:numPr>
        <w:pStyle w:val="Compact"/>
      </w:pPr>
      <w:r>
        <w:rPr>
          <w:bCs/>
          <w:b/>
        </w:rPr>
        <w:t xml:space="preserve">CDDXK_c²_it</w:t>
      </w:r>
      <w:r>
        <w:t xml:space="preserve">: CDDXK_c bình phương, kiểm định phi tuyến</w:t>
      </w:r>
    </w:p>
    <w:p>
      <w:pPr>
        <w:numPr>
          <w:ilvl w:val="0"/>
          <w:numId w:val="1008"/>
        </w:numPr>
        <w:pStyle w:val="Compact"/>
      </w:pPr>
      <w:r>
        <w:rPr>
          <w:bCs/>
          <w:b/>
        </w:rPr>
        <w:t xml:space="preserve">NLCN_z_it</w:t>
      </w:r>
      <w:r>
        <w:t xml:space="preserve">: năng lực công nghệ z-standardised, TCI_z = z-std(b8, e6)</w:t>
      </w:r>
    </w:p>
    <w:p>
      <w:pPr>
        <w:numPr>
          <w:ilvl w:val="0"/>
          <w:numId w:val="1008"/>
        </w:numPr>
        <w:pStyle w:val="Compact"/>
      </w:pPr>
      <w:r>
        <w:rPr>
          <w:bCs/>
          <w:b/>
        </w:rPr>
        <w:t xml:space="preserve">CSS_z_it</w:t>
      </w:r>
      <w:r>
        <w:t xml:space="preserve">: chỉ số số hoá z-standardised, DAI_z = z-std(website + e-pay, Tier 1+2: c22b/e1, k33)</w:t>
      </w:r>
    </w:p>
    <w:p>
      <w:pPr>
        <w:numPr>
          <w:ilvl w:val="0"/>
          <w:numId w:val="1008"/>
        </w:numPr>
        <w:pStyle w:val="Compact"/>
      </w:pPr>
      <w:r>
        <w:rPr>
          <w:bCs/>
          <w:b/>
        </w:rPr>
        <w:t xml:space="preserve">KNQLy_it</w:t>
      </w:r>
      <w:r>
        <w:t xml:space="preserve">: kinh nghiệm nhà quản lý trong ngành (năm, b7)</w:t>
      </w:r>
    </w:p>
    <w:p>
      <w:pPr>
        <w:numPr>
          <w:ilvl w:val="0"/>
          <w:numId w:val="1008"/>
        </w:numPr>
        <w:pStyle w:val="Compact"/>
      </w:pPr>
      <w:r>
        <w:rPr>
          <w:bCs/>
          <w:b/>
        </w:rPr>
        <w:t xml:space="preserve">NQL_nu_it</w:t>
      </w:r>
      <w:r>
        <w:t xml:space="preserve">: top manager là nữ (binary, b7a/b6a)</w:t>
      </w:r>
    </w:p>
    <w:p>
      <w:pPr>
        <w:numPr>
          <w:ilvl w:val="0"/>
          <w:numId w:val="1008"/>
        </w:numPr>
        <w:pStyle w:val="Compact"/>
      </w:pPr>
      <w:r>
        <w:rPr>
          <w:bCs/>
          <w:b/>
        </w:rPr>
        <w:t xml:space="preserve">ICRV_j</w:t>
      </w:r>
      <w:r>
        <w:t xml:space="preserve">: phân loại chế độ thể chế ICRV (integer 1–6, Advanced→SIDS)</w:t>
      </w:r>
    </w:p>
    <w:p>
      <w:pPr>
        <w:numPr>
          <w:ilvl w:val="0"/>
          <w:numId w:val="1008"/>
        </w:numPr>
        <w:pStyle w:val="Compact"/>
      </w:pPr>
      <w:r>
        <w:rPr>
          <w:bCs/>
          <w:b/>
        </w:rPr>
        <w:t xml:space="preserve">lnLD_it</w:t>
      </w:r>
      <w:r>
        <w:t xml:space="preserve">: ln(lao động thường trực), kiểm soát quy mô doanh nghiệp</w:t>
      </w:r>
    </w:p>
    <w:p>
      <w:pPr>
        <w:numPr>
          <w:ilvl w:val="0"/>
          <w:numId w:val="1008"/>
        </w:numPr>
        <w:pStyle w:val="Compact"/>
      </w:pPr>
      <w:r>
        <w:rPr>
          <w:bCs/>
          <w:b/>
        </w:rPr>
        <w:t xml:space="preserve">TuoiDN_it</w:t>
      </w:r>
      <w:r>
        <w:t xml:space="preserve">: tuổi doanh nghiệp (năm_khảo_sát − b5)</w:t>
      </w:r>
    </w:p>
    <w:p>
      <w:pPr>
        <w:numPr>
          <w:ilvl w:val="0"/>
          <w:numId w:val="1008"/>
        </w:numPr>
        <w:pStyle w:val="Compact"/>
      </w:pPr>
      <w:r>
        <w:rPr>
          <w:bCs/>
          <w:b/>
        </w:rPr>
        <w:t xml:space="preserve">SoHuuNN_it</w:t>
      </w:r>
      <w:r>
        <w:t xml:space="preserve">: tỷ lệ sở hữu nước ngoài (b6a/100)</w:t>
      </w:r>
    </w:p>
    <w:p>
      <w:pPr>
        <w:numPr>
          <w:ilvl w:val="0"/>
          <w:numId w:val="1008"/>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cbb75d349817495386208b50168d958a263bdb3"/>
    <w:p>
      <w:pPr>
        <w:pStyle w:val="Heading4"/>
      </w:pPr>
      <w:r>
        <w:t xml:space="preserve">3.4.5.5 Mô hình cụ thể, Nghiên cứu 8: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SIDS</w:t>
      </w:r>
      <w:r>
        <w:t xml:space="preserve"> </w:t>
      </w:r>
      <w:r>
        <w:t xml:space="preserve">(Fiji, Kiribati, Papua New Guinea, Samoa, Solomon Islands, Timor-Leste, Tonga, Vanuatu, Comoros) từ các sóng WBES 2003–2025.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 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 "năng lực số hoá động".</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−0, 404</w:t>
            </w:r>
          </w:p>
        </w:tc>
        <w:tc>
          <w:tcPr/>
          <w:p>
            <w:pPr>
              <w:pStyle w:val="Compact"/>
              <w:jc w:val="left"/>
            </w:pPr>
            <w:r>
              <w:t xml:space="preserve">,</w:t>
            </w:r>
          </w:p>
        </w:tc>
        <w:tc>
          <w:tcPr/>
          <w:p>
            <w:pPr>
              <w:pStyle w:val="Compact"/>
              <w:jc w:val="left"/>
            </w:pPr>
            <w:r>
              <w:t xml:space="preserve">, 032</w:t>
            </w:r>
          </w:p>
        </w:tc>
      </w:tr>
      <w:tr>
        <w:tc>
          <w:tcPr/>
          <w:p>
            <w:pPr>
              <w:pStyle w:val="Compact"/>
              <w:jc w:val="left"/>
            </w:pPr>
            <w:r>
              <w:t xml:space="preserve">Year FE only (không country FE)</w:t>
            </w:r>
          </w:p>
        </w:tc>
        <w:tc>
          <w:tcPr/>
          <w:p>
            <w:pPr>
              <w:pStyle w:val="Compact"/>
              <w:jc w:val="left"/>
            </w:pPr>
            <w:r>
              <w:t xml:space="preserve">−1, 236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−1, 596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−0, 901</w:t>
            </w:r>
          </w:p>
        </w:tc>
        <w:tc>
          <w:tcPr/>
          <w:p>
            <w:pPr>
              <w:pStyle w:val="Compact"/>
              <w:jc w:val="left"/>
            </w:pPr>
            <w:r>
              <w:t xml:space="preserve">,</w:t>
            </w:r>
          </w:p>
        </w:tc>
        <w:tc>
          <w:tcPr/>
          <w:p>
            <w:pPr>
              <w:pStyle w:val="Compact"/>
              <w:jc w:val="left"/>
            </w:pPr>
            <w:r>
              <w:t xml:space="preserve">, 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9"/>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9"/>
        </w:numPr>
        <w:pStyle w:val="Compact"/>
      </w:pPr>
      <w:r>
        <w:t xml:space="preserve">Biến độc lập: thay FSTS bằng export status (binary), foreign sales count.</w:t>
      </w:r>
    </w:p>
    <w:p>
      <w:pPr>
        <w:numPr>
          <w:ilvl w:val="0"/>
          <w:numId w:val="1009"/>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10"/>
        </w:numPr>
        <w:pStyle w:val="Compact"/>
      </w:pPr>
      <w:r>
        <w:t xml:space="preserve">VIF cho tất cả mô hình; ngưỡng VIF &lt; 5 (Hair et al., 2019).</w:t>
      </w:r>
    </w:p>
    <w:p>
      <w:pPr>
        <w:numPr>
          <w:ilvl w:val="0"/>
          <w:numId w:val="1010"/>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11"/>
        </w:numPr>
        <w:pStyle w:val="Compact"/>
      </w:pPr>
      <w:r>
        <w:t xml:space="preserve">Leave-one-out: loại từng nghiên cứu và tái tính pooled effect.</w:t>
      </w:r>
    </w:p>
    <w:p>
      <w:pPr>
        <w:numPr>
          <w:ilvl w:val="0"/>
          <w:numId w:val="1011"/>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 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2026-06-08T01:14:55Z</dcterms:created>
  <dcterms:modified xsi:type="dcterms:W3CDTF">2026-06-08T01:14:55Z</dcterms:modified>
</cp:coreProperties>
</file>

<file path=docProps/custom.xml><?xml version="1.0" encoding="utf-8"?>
<Properties xmlns="http://schemas.openxmlformats.org/officeDocument/2006/custom-properties" xmlns:vt="http://schemas.openxmlformats.org/officeDocument/2006/docPropsVTypes"/>
</file>