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đo bằng ln(doanh thu/lao động), có độ lệch chuẩn dao động từ 0, 49 (Advanced tài nguyên dẫn dắt) đến 1, 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w:t>
            </w:r>
          </w:p>
        </w:tc>
        <w:tc>
          <w:tcPr/>
          <w:p>
            <w:pPr>
              <w:pStyle w:val="Compact"/>
              <w:jc w:val="left"/>
            </w:pPr>
            <w:r>
              <w:t xml:space="preserve">4.708</w:t>
            </w:r>
          </w:p>
        </w:tc>
        <w:tc>
          <w:tcPr/>
          <w:p>
            <w:pPr>
              <w:pStyle w:val="Compact"/>
              <w:jc w:val="left"/>
            </w:pPr>
            <w:r>
              <w:rPr>
                <w:bCs/>
                <w:b/>
              </w:rPr>
              <w:t xml:space="preserve">1, 03</w:t>
            </w:r>
          </w:p>
        </w:tc>
        <w:tc>
          <w:tcPr/>
          <w:p>
            <w:pPr>
              <w:pStyle w:val="Compact"/>
              <w:jc w:val="left"/>
            </w:pPr>
            <w:r>
              <w:t xml:space="preserve">10, 2</w:t>
            </w:r>
          </w:p>
        </w:tc>
        <w:tc>
          <w:tcPr/>
          <w:p>
            <w:pPr>
              <w:pStyle w:val="Compact"/>
              <w:jc w:val="left"/>
            </w:pPr>
            <w:r>
              <w:t xml:space="preserve">23, 0</w:t>
            </w:r>
          </w:p>
        </w:tc>
        <w:tc>
          <w:tcPr/>
          <w:p>
            <w:pPr>
              <w:pStyle w:val="Compact"/>
              <w:jc w:val="left"/>
            </w:pPr>
            <w:r>
              <w:t xml:space="preserve">11, 1</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rPr>
                <w:bCs/>
                <w:b/>
              </w:rPr>
              <w:t xml:space="preserve">0, 49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1, 29</w:t>
            </w:r>
          </w:p>
        </w:tc>
        <w:tc>
          <w:tcPr/>
          <w:p>
            <w:pPr>
              <w:pStyle w:val="Compact"/>
              <w:jc w:val="left"/>
            </w:pPr>
            <w:r>
              <w:t xml:space="preserve">10, 3</w:t>
            </w:r>
          </w:p>
        </w:tc>
        <w:tc>
          <w:tcPr/>
          <w:p>
            <w:pPr>
              <w:pStyle w:val="Compact"/>
              <w:jc w:val="left"/>
            </w:pPr>
            <w:r>
              <w:t xml:space="preserve">21, 7</w:t>
            </w:r>
          </w:p>
        </w:tc>
        <w:tc>
          <w:tcPr/>
          <w:p>
            <w:pPr>
              <w:pStyle w:val="Compact"/>
              <w:jc w:val="left"/>
            </w:pPr>
            <w:r>
              <w:t xml:space="preserve">8, 4</w:t>
            </w:r>
          </w:p>
        </w:tc>
      </w:tr>
      <w:tr>
        <w:tc>
          <w:tcPr/>
          <w:p>
            <w:pPr>
              <w:pStyle w:val="Compact"/>
              <w:jc w:val="left"/>
            </w:pPr>
            <w:r>
              <w:t xml:space="preserve">Nhóm IV, Emerging (VNM, IDN, PHL, IND...)</w:t>
            </w:r>
          </w:p>
        </w:tc>
        <w:tc>
          <w:tcPr/>
          <w:p>
            <w:pPr>
              <w:pStyle w:val="Compact"/>
              <w:jc w:val="left"/>
            </w:pPr>
            <w:r>
              <w:t xml:space="preserve">50.926</w:t>
            </w:r>
          </w:p>
        </w:tc>
        <w:tc>
          <w:tcPr/>
          <w:p>
            <w:pPr>
              <w:pStyle w:val="Compact"/>
              <w:jc w:val="left"/>
            </w:pPr>
            <w:r>
              <w:t xml:space="preserve">1, 24</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4, 7</w:t>
            </w:r>
          </w:p>
        </w:tc>
      </w:tr>
      <w:tr>
        <w:tc>
          <w:tcPr/>
          <w:p>
            <w:pPr>
              <w:pStyle w:val="Compact"/>
              <w:jc w:val="left"/>
            </w:pPr>
            <w:r>
              <w:t xml:space="preserve">Nhóm V, Frontier (BGD, PAK, LAO, KHM...)</w:t>
            </w:r>
          </w:p>
        </w:tc>
        <w:tc>
          <w:tcPr/>
          <w:p>
            <w:pPr>
              <w:pStyle w:val="Compact"/>
              <w:jc w:val="left"/>
            </w:pPr>
            <w:r>
              <w:t xml:space="preserve">18.569</w:t>
            </w:r>
          </w:p>
        </w:tc>
        <w:tc>
          <w:tcPr/>
          <w:p>
            <w:pPr>
              <w:pStyle w:val="Compact"/>
              <w:jc w:val="left"/>
            </w:pPr>
            <w:r>
              <w:t xml:space="preserve">1, 36</w:t>
            </w:r>
          </w:p>
        </w:tc>
        <w:tc>
          <w:tcPr/>
          <w:p>
            <w:pPr>
              <w:pStyle w:val="Compact"/>
              <w:jc w:val="left"/>
            </w:pPr>
            <w:r>
              <w:t xml:space="preserve">10, 1</w:t>
            </w:r>
          </w:p>
        </w:tc>
        <w:tc>
          <w:tcPr/>
          <w:p>
            <w:pPr>
              <w:pStyle w:val="Compact"/>
              <w:jc w:val="left"/>
            </w:pPr>
            <w:r>
              <w:t xml:space="preserve">16, 6</w:t>
            </w:r>
          </w:p>
        </w:tc>
        <w:tc>
          <w:tcPr/>
          <w:p>
            <w:pPr>
              <w:pStyle w:val="Compact"/>
              <w:jc w:val="left"/>
            </w:pPr>
            <w:r>
              <w:t xml:space="preserve">5, 9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1, 32</w:t>
            </w:r>
          </w:p>
        </w:tc>
        <w:tc>
          <w:tcPr/>
          <w:p>
            <w:pPr>
              <w:pStyle w:val="Compact"/>
              <w:jc w:val="left"/>
            </w:pPr>
            <w:r>
              <w:t xml:space="preserve">6, 3</w:t>
            </w:r>
          </w:p>
        </w:tc>
        <w:tc>
          <w:tcPr/>
          <w:p>
            <w:pPr>
              <w:pStyle w:val="Compact"/>
              <w:jc w:val="left"/>
            </w:pPr>
            <w:r>
              <w:t xml:space="preserve">16, 3</w:t>
            </w:r>
          </w:p>
        </w:tc>
        <w:tc>
          <w:tcPr/>
          <w:p>
            <w:pPr>
              <w:pStyle w:val="Compact"/>
              <w:jc w:val="left"/>
            </w:pPr>
            <w:r>
              <w:t xml:space="preserve">23, 5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 ≈ 1, 03) và nhóm tài nguyên dẫn dắt (Saudi Arabia, Qatar, Kuwait, sd ≈ 0, 49) xấp xỉ 2, 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5d3466187510031b2f9edbae396df25939a1a4c"/>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 3% (SIDS) đến 10, 3% (Upper-middle), với mức trung bình khu vực khoảng 8, 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22, 3</w:t>
            </w:r>
          </w:p>
        </w:tc>
        <w:tc>
          <w:tcPr/>
          <w:p>
            <w:pPr>
              <w:pStyle w:val="Compact"/>
              <w:jc w:val="left"/>
            </w:pPr>
            <w:r>
              <w:t xml:space="preserve">52, 3</w:t>
            </w:r>
          </w:p>
        </w:tc>
        <w:tc>
          <w:tcPr/>
          <w:p>
            <w:pPr>
              <w:pStyle w:val="Compact"/>
              <w:jc w:val="left"/>
            </w:pPr>
            <w:r>
              <w:t xml:space="preserve">16, 7</w:t>
            </w:r>
          </w:p>
        </w:tc>
        <w:tc>
          <w:tcPr/>
          <w:p>
            <w:pPr>
              <w:pStyle w:val="Compact"/>
              <w:jc w:val="left"/>
            </w:pPr>
            <w:r>
              <w:t xml:space="preserve">29, 9</w:t>
            </w:r>
          </w:p>
        </w:tc>
        <w:tc>
          <w:tcPr/>
          <w:p>
            <w:pPr>
              <w:pStyle w:val="Compact"/>
              <w:jc w:val="left"/>
            </w:pPr>
            <w:r>
              <w:t xml:space="preserve">59, 3</w:t>
            </w:r>
          </w:p>
        </w:tc>
      </w:tr>
      <w:tr>
        <w:tc>
          <w:tcPr/>
          <w:p>
            <w:pPr>
              <w:pStyle w:val="Compact"/>
              <w:jc w:val="left"/>
            </w:pPr>
            <w:r>
              <w:t xml:space="preserve">Upper-middle</w:t>
            </w:r>
          </w:p>
        </w:tc>
        <w:tc>
          <w:tcPr/>
          <w:p>
            <w:pPr>
              <w:pStyle w:val="Compact"/>
              <w:jc w:val="left"/>
            </w:pPr>
            <w:r>
              <w:t xml:space="preserve">26, 7</w:t>
            </w:r>
          </w:p>
        </w:tc>
        <w:tc>
          <w:tcPr/>
          <w:p>
            <w:pPr>
              <w:pStyle w:val="Compact"/>
              <w:jc w:val="left"/>
            </w:pPr>
            <w:r>
              <w:t xml:space="preserve">71, 7</w:t>
            </w:r>
          </w:p>
        </w:tc>
        <w:tc>
          <w:tcPr/>
          <w:p>
            <w:pPr>
              <w:pStyle w:val="Compact"/>
              <w:jc w:val="left"/>
            </w:pPr>
            <w:r>
              <w:t xml:space="preserve">21, 0</w:t>
            </w:r>
          </w:p>
        </w:tc>
        <w:tc>
          <w:tcPr/>
          <w:p>
            <w:pPr>
              <w:pStyle w:val="Compact"/>
              <w:jc w:val="left"/>
            </w:pPr>
            <w:r>
              <w:t xml:space="preserve">31, 4</w:t>
            </w:r>
          </w:p>
        </w:tc>
        <w:tc>
          <w:tcPr/>
          <w:p>
            <w:pPr>
              <w:pStyle w:val="Compact"/>
              <w:jc w:val="left"/>
            </w:pPr>
            <w:r>
              <w:t xml:space="preserve">56, 9</w:t>
            </w:r>
          </w:p>
        </w:tc>
      </w:tr>
      <w:tr>
        <w:tc>
          <w:tcPr/>
          <w:p>
            <w:pPr>
              <w:pStyle w:val="Compact"/>
              <w:jc w:val="left"/>
            </w:pPr>
            <w:r>
              <w:t xml:space="preserve">Emerging</w:t>
            </w:r>
          </w:p>
        </w:tc>
        <w:tc>
          <w:tcPr/>
          <w:p>
            <w:pPr>
              <w:pStyle w:val="Compact"/>
              <w:jc w:val="left"/>
            </w:pPr>
            <w:r>
              <w:t xml:space="preserve">17, 5</w:t>
            </w:r>
          </w:p>
        </w:tc>
        <w:tc>
          <w:tcPr/>
          <w:p>
            <w:pPr>
              <w:pStyle w:val="Compact"/>
              <w:jc w:val="left"/>
            </w:pPr>
            <w:r>
              <w:t xml:space="preserve">65, 2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49, 2</w:t>
            </w:r>
          </w:p>
        </w:tc>
      </w:tr>
      <w:tr>
        <w:tc>
          <w:tcPr/>
          <w:p>
            <w:pPr>
              <w:pStyle w:val="Compact"/>
              <w:jc w:val="left"/>
            </w:pPr>
            <w:r>
              <w:t xml:space="preserve">Frontier</w:t>
            </w:r>
          </w:p>
        </w:tc>
        <w:tc>
          <w:tcPr/>
          <w:p>
            <w:pPr>
              <w:pStyle w:val="Compact"/>
              <w:jc w:val="left"/>
            </w:pPr>
            <w:r>
              <w:t xml:space="preserve">23, 1</w:t>
            </w:r>
          </w:p>
        </w:tc>
        <w:tc>
          <w:tcPr/>
          <w:p>
            <w:pPr>
              <w:pStyle w:val="Compact"/>
              <w:jc w:val="left"/>
            </w:pPr>
            <w:r>
              <w:t xml:space="preserve">68, 9</w:t>
            </w:r>
          </w:p>
        </w:tc>
        <w:tc>
          <w:tcPr/>
          <w:p>
            <w:pPr>
              <w:pStyle w:val="Compact"/>
              <w:jc w:val="left"/>
            </w:pPr>
            <w:r>
              <w:t xml:space="preserve">14, 2</w:t>
            </w:r>
          </w:p>
        </w:tc>
        <w:tc>
          <w:tcPr/>
          <w:p>
            <w:pPr>
              <w:pStyle w:val="Compact"/>
              <w:jc w:val="left"/>
            </w:pPr>
            <w:r>
              <w:t xml:space="preserve">20, 7</w:t>
            </w:r>
          </w:p>
        </w:tc>
        <w:tc>
          <w:tcPr/>
          <w:p>
            <w:pPr>
              <w:pStyle w:val="Compact"/>
              <w:jc w:val="left"/>
            </w:pPr>
            <w:r>
              <w:t xml:space="preserve">38, 0</w:t>
            </w:r>
          </w:p>
        </w:tc>
      </w:tr>
      <w:tr>
        <w:tc>
          <w:tcPr/>
          <w:p>
            <w:pPr>
              <w:pStyle w:val="Compact"/>
              <w:jc w:val="left"/>
            </w:pPr>
            <w:r>
              <w:t xml:space="preserve">SIDS</w:t>
            </w:r>
          </w:p>
        </w:tc>
        <w:tc>
          <w:tcPr/>
          <w:p>
            <w:pPr>
              <w:pStyle w:val="Compact"/>
              <w:jc w:val="left"/>
            </w:pPr>
            <w:r>
              <w:rPr>
                <w:bCs/>
                <w:b/>
              </w:rPr>
              <w:t xml:space="preserve">41, 5</w:t>
            </w:r>
          </w:p>
        </w:tc>
        <w:tc>
          <w:tcPr/>
          <w:p>
            <w:pPr>
              <w:pStyle w:val="Compact"/>
              <w:jc w:val="left"/>
            </w:pPr>
            <w:r>
              <w:t xml:space="preserve">65, 1</w:t>
            </w:r>
          </w:p>
        </w:tc>
        <w:tc>
          <w:tcPr/>
          <w:p>
            <w:pPr>
              <w:pStyle w:val="Compact"/>
              <w:jc w:val="left"/>
            </w:pPr>
            <w:r>
              <w:t xml:space="preserve">11, 8</w:t>
            </w:r>
          </w:p>
        </w:tc>
        <w:tc>
          <w:tcPr/>
          <w:p>
            <w:pPr>
              <w:pStyle w:val="Compact"/>
              <w:jc w:val="left"/>
            </w:pPr>
            <w:r>
              <w:t xml:space="preserve">16, 5</w:t>
            </w:r>
          </w:p>
        </w:tc>
        <w:tc>
          <w:tcPr/>
          <w:p>
            <w:pPr>
              <w:pStyle w:val="Compact"/>
              <w:jc w:val="left"/>
            </w:pPr>
            <w:r>
              <w:rPr>
                <w:bCs/>
                <w:b/>
              </w:rPr>
              <w:t xml:space="preserve">58, 9</w:t>
            </w:r>
          </w:p>
        </w:tc>
      </w:tr>
    </w:tbl>
    <w:p>
      <w:pPr>
        <w:pStyle w:val="BodyText"/>
      </w:pPr>
      <w:r>
        <w:rPr>
          <w:iCs/>
          <w:i/>
        </w:rPr>
        <w:t xml:space="preserve">Nguồn: Phân tích của tác giả từ WBES, 2003–2025.</w:t>
      </w:r>
    </w:p>
    <w:p>
      <w:pPr>
        <w:pStyle w:val="BodyText"/>
      </w:pPr>
      <w:r>
        <w:t xml:space="preserve">Phát hiện đáng chú ý là pattern "nhảy vọt số" (digital leapfrogging) ở SIDS: tỷ lệ website 58, 9% vượt cả nhóm Emerging (49, 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 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707459848574cc95d39c91fb822ad70a51bc31"/>
    <w:p>
      <w:pPr>
        <w:pStyle w:val="Heading2"/>
      </w:pPr>
      <w:r>
        <w:t xml:space="preserve">4.2 Kết quả tổng hợp định lượng,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e38e2ca9516d4560ca2adb07f337f31e02f73bc"/>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b3878aa431a7a1542c531cbd096e6f7bb45602f"/>
    <w:p>
      <w:pPr>
        <w:pStyle w:val="Heading2"/>
      </w:pPr>
      <w:r>
        <w:t xml:space="preserve">4.3 Kết quả bối cảnh thể chế tiên tiến,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 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"chưa quan sát thấy ngưỡng bất lợi của quốc tế hóa trong miền dữ liệu"</w:t>
      </w:r>
      <w:r>
        <w:t xml:space="preserve"> </w:t>
      </w:r>
      <w:r>
        <w:t xml:space="preserve">thay vì khẳng định một điểm uốn cụ thể ở 88, 6%; điều này nhất quán với kỳ vọng lý thuyết rằng ở bối cảnh thể chế mạnh (Nhóm I), dư địa quốc tế hóa có lợi là rất rộng (xem Hình 4.x).</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 37% FSTS</w:t>
      </w:r>
    </w:p>
    <w:p>
      <w:pPr>
        <w:numPr>
          <w:ilvl w:val="0"/>
          <w:numId w:val="1002"/>
        </w:numPr>
        <w:pStyle w:val="Compact"/>
      </w:pPr>
      <w:r>
        <w:rPr>
          <w:bCs/>
          <w:b/>
        </w:rPr>
        <w:t xml:space="preserve">Năm 2024</w:t>
      </w:r>
      <w:r>
        <w:t xml:space="preserve">: TP = 47, 19% FSTS</w:t>
      </w:r>
    </w:p>
    <w:p>
      <w:pPr>
        <w:numPr>
          <w:ilvl w:val="0"/>
          <w:numId w:val="1002"/>
        </w:numPr>
        <w:pStyle w:val="Compact"/>
      </w:pPr>
      <w:r>
        <w:rPr>
          <w:bCs/>
          <w:b/>
        </w:rPr>
        <w:t xml:space="preserve">Pooled (toàn mẫu)</w:t>
      </w:r>
      <w:r>
        <w:t xml:space="preserve">: TP = 48, 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5776cc10d7a0839497eecdb9feeaa91dca9bb8"/>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 37% (2012) xuống TP = 47, 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1c50cf69236ccd22fea91a72de2cee9d1a10a5a"/>
    <w:p>
      <w:pPr>
        <w:pStyle w:val="Heading2"/>
      </w:pPr>
      <w:r>
        <w:t xml:space="preserve">4.5 Kết quả bối cảnh chuyển đổi bậc thấp, 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 2% FSTS</w:t>
            </w:r>
          </w:p>
        </w:tc>
      </w:tr>
      <w:tr>
        <w:tc>
          <w:tcPr/>
          <w:p>
            <w:pPr>
              <w:pStyle w:val="Compact"/>
              <w:jc w:val="left"/>
            </w:pPr>
            <w:r>
              <w:t xml:space="preserve">2015</w:t>
            </w:r>
          </w:p>
        </w:tc>
        <w:tc>
          <w:tcPr/>
          <w:p>
            <w:pPr>
              <w:pStyle w:val="Compact"/>
              <w:jc w:val="left"/>
            </w:pPr>
            <w:r>
              <w:t xml:space="preserve">39, 3% FSTS</w:t>
            </w:r>
          </w:p>
        </w:tc>
      </w:tr>
      <w:tr>
        <w:tc>
          <w:tcPr/>
          <w:p>
            <w:pPr>
              <w:pStyle w:val="Compact"/>
              <w:jc w:val="left"/>
            </w:pPr>
            <w:r>
              <w:t xml:space="preserve">2023</w:t>
            </w:r>
          </w:p>
        </w:tc>
        <w:tc>
          <w:tcPr/>
          <w:p>
            <w:pPr>
              <w:pStyle w:val="Compact"/>
              <w:jc w:val="left"/>
            </w:pPr>
            <w:r>
              <w:t xml:space="preserve">41, 6% FSTS</w:t>
            </w:r>
          </w:p>
        </w:tc>
      </w:tr>
      <w:tr>
        <w:tc>
          <w:tcPr/>
          <w:p>
            <w:pPr>
              <w:pStyle w:val="Compact"/>
              <w:jc w:val="left"/>
            </w:pPr>
            <w:r>
              <w:t xml:space="preserve">Pooled</w:t>
            </w:r>
          </w:p>
        </w:tc>
        <w:tc>
          <w:tcPr/>
          <w:p>
            <w:pPr>
              <w:pStyle w:val="Compact"/>
              <w:jc w:val="left"/>
            </w:pPr>
            <w:r>
              <w:t xml:space="preserve">39, 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 6%) và tương đương hoặc thấp hơn Trung Quốc (TP ≈ 48, 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 2% xuống 39, 3% giữa hai làn sóng.</w:t>
      </w:r>
    </w:p>
    <w:bookmarkEnd w:id="40"/>
    <w:bookmarkStart w:id="41" w:name="X9bde264e6bef1089de5375d5e8581ef415304fc"/>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1"/>
    <w:bookmarkStart w:id="42" w:name="X700b251fcd1d2d576b9443c836010371c6ed7f7"/>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50"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 8–40, 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8" w:name="X5fdb9862e670cfaf7f1776b6d4e97941fda23a7"/>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BodyText"/>
      </w:pPr>
      <w:r>
        <w:drawing>
          <wp:inline>
            <wp:extent cx="5334000" cy="3568791"/>
            <wp:effectExtent b="0" l="0" r="0" t="0"/>
            <wp:docPr descr="Hình 4.x. Họ đường cong I–P phụ thuộc chế độ thể chế ICRV" title="" id="46" name="Picture"/>
            <a:graphic>
              <a:graphicData uri="http://schemas.openxmlformats.org/drawingml/2006/picture">
                <pic:pic>
                  <pic:nvPicPr>
                    <pic:cNvPr descr="figures/fig_4_x_ip_curves_icrv_gradient.png" id="47" name="Picture"/>
                    <pic:cNvPicPr>
                      <a:picLocks noChangeArrowheads="1" noChangeAspect="1"/>
                    </pic:cNvPicPr>
                  </pic:nvPicPr>
                  <pic:blipFill>
                    <a:blip r:embed="rId45"/>
                    <a:stretch>
                      <a:fillRect/>
                    </a:stretch>
                  </pic:blipFill>
                  <pic:spPr bwMode="auto">
                    <a:xfrm>
                      <a:off x="0" y="0"/>
                      <a:ext cx="5334000" cy="3568791"/>
                    </a:xfrm>
                    <a:prstGeom prst="rect">
                      <a:avLst/>
                    </a:prstGeom>
                    <a:noFill/>
                    <a:ln w="9525">
                      <a:noFill/>
                      <a:headEnd/>
                      <a:tailEnd/>
                    </a:ln>
                  </pic:spPr>
                </pic:pic>
              </a:graphicData>
            </a:graphic>
          </wp:inline>
        </w:drawing>
      </w:r>
    </w:p>
    <w:p>
      <w:pPr>
        <w:pStyle w:val="BodyText"/>
      </w:pPr>
      <w:r>
        <w:rPr>
          <w:bCs/>
          <w:b/>
        </w:rPr>
        <w:t xml:space="preserve">Hình 4.x.</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8"/>
    <w:bookmarkStart w:id="49"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 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9"/>
    <w:bookmarkEnd w:id="50"/>
    <w:bookmarkStart w:id="54" w:name="X63c027abb5fe79073c31f23153cb58808345fe4"/>
    <w:p>
      <w:pPr>
        <w:pStyle w:val="Heading2"/>
      </w:pPr>
      <w:r>
        <w:t xml:space="preserve">4.7 Kết quả trường hợp biên SIDS, Các nền kinh tế đảo nhỏ đang phát triển (P8)</w:t>
      </w:r>
    </w:p>
    <w:bookmarkStart w:id="51" w:name="Xe52dd8a4967ed07d68452ad9b61fc702a699611"/>
    <w:p>
      <w:pPr>
        <w:pStyle w:val="Heading3"/>
      </w:pPr>
      <w:r>
        <w:t xml:space="preserve">4.7.1 Đặc điểm mẫu SIDS</w:t>
      </w:r>
    </w:p>
    <w:p>
      <w:pPr>
        <w:pStyle w:val="FirstParagraph"/>
      </w:pPr>
      <w:r>
        <w:t xml:space="preserve">Phân tích P8 tập trung vào chín quốc gia SIDS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 7% mẫu). Tỷ lệ doanh thu xuất khẩu trung bình rất thấp: mean FSTS = 0, 060 (6, 0%).</w:t>
      </w:r>
    </w:p>
    <w:bookmarkEnd w:id="51"/>
    <w:bookmarkStart w:id="52" w:name="Xe2cdf43f23535c5150bde7c85922c7e2d469de0"/>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2"/>
    <w:bookmarkStart w:id="53"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p>
      <w:r>
        <w:pict>
          <v:rect style="width:0;height:1.5pt" o:hralign="center" o:hrstd="t" o:hr="t"/>
        </w:pict>
      </w:r>
    </w:p>
    <w:bookmarkEnd w:id="53"/>
    <w:bookmarkEnd w:id="54"/>
    <w:bookmarkStart w:id="55"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 155***) và cả hai curvature interactions có ý nghĩa trong P7 (49 nền kinh tế); DAI×ICRV p=.012,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 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5"/>
    <w:bookmarkStart w:id="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6">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hyperlink" Id="rId56"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6"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2026-06-08T01:14:56Z</dcterms:created>
  <dcterms:modified xsi:type="dcterms:W3CDTF">2026-06-08T01:14:56Z</dcterms:modified>
</cp:coreProperties>
</file>

<file path=docProps/custom.xml><?xml version="1.0" encoding="utf-8"?>
<Properties xmlns="http://schemas.openxmlformats.org/officeDocument/2006/custom-properties" xmlns:vt="http://schemas.openxmlformats.org/officeDocument/2006/docPropsVTypes"/>
</file>