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de87deb2a7ffdc941acc39b4361b02e12a8109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ea00089b65c1e20135b39344b272951a34bec5f"/>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2"/>
    <w:bookmarkStart w:id="23" w:name="Xc7016215fc5d1e847fb8dc50f615b482ad452c9"/>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"digital shield effect" phát huy mạnh nhất khi nền tảng thể chế còn thiếu hụt, không phải khi thể chế đã hoàn thiện.</w:t>
      </w:r>
    </w:p>
    <w:bookmarkEnd w:id="23"/>
    <w:bookmarkStart w:id="24" w:name="Xf0420b86c7ee1156fef3953a52dc3f60f0e80e4"/>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4"/>
    <w:bookmarkStart w:id="25" w:name="Xae9cbeb2eedd873d20d1c9e96262552530937e2"/>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 1% tầng 2 và 8, 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 6% (Singapore, Advanced Innovation; lưu ý điểm uốn này không định vị tin cậy do CI vượt ngưỡng khả thi, xem §4.3) đến TP ≈ 39, 7% (Việt Nam pooled, Lower-mid Transition), với Trung Quốc ở mức trung gian (TP ≈ 48, 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literature Lu và Beamish.</w:t>
      </w:r>
    </w:p>
    <w:bookmarkEnd w:id="28"/>
    <w:bookmarkStart w:id="29" w:name="X7ce13c7a026601082d9f5e552d816da035bf1b5"/>
    <w:p>
      <w:pPr>
        <w:pStyle w:val="Heading3"/>
      </w:pPr>
      <w:r>
        <w:t xml:space="preserve">5.2.3 Mở rộng Marano et al. (2016),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1401e9a2e6f5c6349dd4dd1aa7b38f2775b319a"/>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 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31eddd58b7a90fc1073e7609a5cfa2840df0cc5"/>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bẫy quốc tế hóa bắt buộc, mà không có turning point để thoát khỏi.</w:t>
      </w:r>
    </w:p>
    <w:bookmarkEnd w:id="32"/>
    <w:bookmarkStart w:id="33" w:name="X695fad62bc7cbfea9ebc37ddb6a97fa50099db8"/>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b2856383af6817e6416794245f71f98c7ec42"/>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 2% (2009) xuống 39, 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3988ab5bb38587486d3e18b6bde66ed890f3550"/>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 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 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 3–46, 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be917898e490efecfeaf7765a1cb088a38c9932"/>
    <w:p>
      <w:pPr>
        <w:pStyle w:val="Heading3"/>
      </w:pPr>
      <w:r>
        <w:t xml:space="preserve">5.4.3 Đề xuất đặc biệt cho SIDS, Tránh Bẫy Quốc Tế Hóa Bắt Buộc</w:t>
      </w:r>
    </w:p>
    <w:p>
      <w:pPr>
        <w:pStyle w:val="FirstParagraph"/>
      </w:pPr>
      <w:r>
        <w:t xml:space="preserve">Phát hiện FIP tại chín quốc gia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 3–46, 2%, TCI là moderator dương có ý nghĩa.</w:t>
      </w:r>
    </w:p>
    <w:p>
      <w:pPr>
        <w:numPr>
          <w:ilvl w:val="0"/>
          <w:numId w:val="1002"/>
        </w:numPr>
      </w:pPr>
      <w:r>
        <w:rPr>
          <w:bCs/>
          <w:b/>
        </w:rPr>
        <w:t xml:space="preserve">P4</w:t>
      </w:r>
      <w:r>
        <w:t xml:space="preserve">: phân tích Singapore (Advanced Innovation), xác nhận inverted-U với TP ≈ 88, 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 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 1% tầng 2 + 8, 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 4–40, 0% (M2–M5; M11 đầy đủ: TP = 34, 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SIDS,</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7"/>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2026-06-08T01:14:56Z</dcterms:created>
  <dcterms:modified xsi:type="dcterms:W3CDTF">2026-06-08T01:14:56Z</dcterms:modified>
</cp:coreProperties>
</file>

<file path=docProps/custom.xml><?xml version="1.0" encoding="utf-8"?>
<Properties xmlns="http://schemas.openxmlformats.org/officeDocument/2006/custom-properties" xmlns:vt="http://schemas.openxmlformats.org/officeDocument/2006/docPropsVTypes"/>
</file>