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9.png" ContentType="image/png"/>
  <Override PartName="/word/media/rId57.png" ContentType="image/png"/>
  <Override PartName="/word/media/rId5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[Author 2]</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to test three theoretically motivated moderators — country-level digital adoption (cDAI), institutional context regime (ICRV), and Digital Paradox Lifecycle (DPL) phase — that prior meta-analyses of the internationalization–performance (I→P) relationship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0.075 (95% CI [0.061, 0.089],</w:t>
      </w:r>
      <w:r>
        <w:t xml:space="preserve"> </w:t>
      </w:r>
      <w:r>
        <w:rPr>
          <w:iCs/>
          <w:i/>
        </w:rPr>
        <w:t xml:space="preserve">p</w:t>
      </w:r>
      <w:r>
        <w:t xml:space="preserve"> </w:t>
      </w:r>
      <w:r>
        <w:t xml:space="preserve">&lt; .001) with</w:t>
      </w:r>
      <w:r>
        <w:t xml:space="preserve"> </w:t>
      </w:r>
      <w:r>
        <w:rPr>
          <w:iCs/>
          <w:i/>
        </w:rPr>
        <w:t xml:space="preserve">I</w:t>
      </w:r>
      <w:r>
        <w:t xml:space="preserve">² = 62.5% (Level 2 within-study: 54.1%; Level 3 between-study: 8.4%). Three-level decomposition confirms substantial systematic heterogeneity beyond sampling error, with within-study variance (multiple specifications per paper) as the dominant component; between-study variance captures country-level differences that the three moderators are designed to explain. ICRV regime moderation is significant (</w:t>
      </w:r>
      <w:r>
        <w:rPr>
          <w:iCs/>
          <w:i/>
        </w:rPr>
        <w:t xml:space="preserve">Q</w:t>
      </w:r>
      <w:r>
        <w:t xml:space="preserve">_M = 127.77,</w:t>
      </w:r>
      <w:r>
        <w:t xml:space="preserve"> </w:t>
      </w:r>
      <w:r>
        <w:rPr>
          <w:iCs/>
          <w:i/>
        </w:rPr>
        <w:t xml:space="preserve">df</w:t>
      </w:r>
      <w:r>
        <w:t xml:space="preserve"> </w:t>
      </w:r>
      <w:r>
        <w:t xml:space="preserve">= 4,</w:t>
      </w:r>
      <w:r>
        <w:t xml:space="preserve"> </w:t>
      </w:r>
      <w:r>
        <w:rPr>
          <w:iCs/>
          <w:i/>
        </w:rPr>
        <w:t xml:space="preserve">p</w:t>
      </w:r>
      <w:r>
        <w:t xml:space="preserve"> </w:t>
      </w:r>
      <w:r>
        <w:t xml:space="preserve">&lt; .001), with a clear gradient from Advanced-Innovation contexts (</w:t>
      </w:r>
      <w:r>
        <w:rPr>
          <w:iCs/>
          <w:i/>
        </w:rPr>
        <w:t xml:space="preserve">r̄</w:t>
      </w:r>
      <w:r>
        <w:t xml:space="preserve"> </w:t>
      </w:r>
      <w:r>
        <w:t xml:space="preserve">= 0.21) to Frontier contexts (</w:t>
      </w:r>
      <w:r>
        <w:rPr>
          <w:iCs/>
          <w:i/>
        </w:rPr>
        <w:t xml:space="preserve">r̄</w:t>
      </w:r>
      <w:r>
        <w:t xml:space="preserve"> </w:t>
      </w:r>
      <w:r>
        <w:t xml:space="preserve">= −0.02). cDAI amplifies the I→P effect positively (β = +0.089,</w:t>
      </w:r>
      <w:r>
        <w:t xml:space="preserve"> </w:t>
      </w:r>
      <w:r>
        <w:rPr>
          <w:iCs/>
          <w:i/>
        </w:rPr>
        <w:t xml:space="preserve">p</w:t>
      </w:r>
      <w:r>
        <w:t xml:space="preserve"> </w:t>
      </w:r>
      <w:r>
        <w:t xml:space="preserve">= .024), concentrated in the DPL Follow phase (post-2014). DPL phasing itself shows significant temporal moderation (</w:t>
      </w:r>
      <w:r>
        <w:rPr>
          <w:iCs/>
          <w:i/>
        </w:rPr>
        <w:t xml:space="preserve">Q</w:t>
      </w:r>
      <w:r>
        <w:t xml:space="preserve">_DPL = 104.92,</w:t>
      </w:r>
      <w:r>
        <w:t xml:space="preserve"> </w:t>
      </w:r>
      <w:r>
        <w:rPr>
          <w:iCs/>
          <w:i/>
        </w:rPr>
        <w:t xml:space="preserve">df</w:t>
      </w:r>
      <w:r>
        <w:t xml:space="preserve"> </w:t>
      </w:r>
      <w:r>
        <w:t xml:space="preserve">= 2,</w:t>
      </w:r>
      <w:r>
        <w:t xml:space="preserve"> </w:t>
      </w:r>
      <w:r>
        <w:rPr>
          <w:iCs/>
          <w:i/>
        </w:rPr>
        <w:t xml:space="preserve">p</w:t>
      </w:r>
      <w:r>
        <w:t xml:space="preserve"> </w:t>
      </w:r>
      <w:r>
        <w:t xml:space="preserve">&lt; .001): Follow &gt; Span &gt; Precede.</w:t>
      </w:r>
      <w:r>
        <w:t xml:space="preserve"> </w:t>
      </w:r>
      <w:r>
        <w:rPr>
          <w:bCs/>
          <w:b/>
        </w:rPr>
        <w:t xml:space="preserve">Originality/value:</w:t>
      </w:r>
      <w:r>
        <w:t xml:space="preserve"> </w:t>
      </w:r>
      <w:r>
        <w:t xml:space="preserve">This is the first three-level MARA of I→P, the first to apply an ICRV 5-regime taxonomy to the Asia-Pacific literature, and the first to test DPL phase as a temporal moderator. Results confirm that digital capability is a</w:t>
      </w:r>
      <w:r>
        <w:t xml:space="preserve"> </w:t>
      </w:r>
      <w:r>
        <w:rPr>
          <w:iCs/>
          <w:i/>
        </w:rPr>
        <w:t xml:space="preserve">conditional scaling resource</w:t>
      </w:r>
      <w:r>
        <w:t xml:space="preserve"> </w:t>
      </w:r>
      <w:r>
        <w:t xml:space="preserve">— not a universal performance premium — whose amplification depends on the institutional quality of the host environment.</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Asia-Pacific</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 "I→P relationship")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5-regime.</w:t>
      </w:r>
      <w:r>
        <w:t xml:space="preserve"> </w:t>
      </w:r>
      <w:r>
        <w:t xml:space="preserve">Marano et al. (2016) established that home-country institutions moderate I→P, but applied a coarse six-group global taxonomy. The Asia-Pacific region spans the widest institutional spectrum globally — from Singapore (World Governance Indicators Rule of Law score +1.84) to frontier economies (WGI &lt; −0.50; World Bank, 2023). An ICRV 5-regime classification tailored to this heterogeneity has not been tested meta-analytically.</w:t>
      </w:r>
    </w:p>
    <w:p>
      <w:pPr>
        <w:pStyle w:val="BodyText"/>
      </w:pPr>
      <w:r>
        <w:rPr>
          <w:bCs/>
          <w:b/>
        </w:rPr>
        <w:t xml:space="preserve">Gap 3 — DPL phase.</w:t>
      </w:r>
      <w:r>
        <w:t xml:space="preserve"> </w:t>
      </w:r>
      <w:r>
        <w:t xml:space="preserve">Brynjolfsson et al. (2021) identified 2009 as a productivity inflection point in the digital era (the "dynamo analogy" 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ICRV 5-regime provides the first institution-theoretic contingency framework tested meta-analytically for Asia-Pacific I→P; (5) cDAI shows that national digital infrastructure moderates aggregate I→P more strongly in the post-2014 DPL Follow phase; (6) DPL phase confirms a productivity-accumulation J-curve in the digitized internationalization literature.</w:t>
      </w:r>
    </w:p>
    <w:p>
      <w:pPr>
        <w:pStyle w:val="BodyText"/>
      </w:pPr>
      <w:r>
        <w:rPr>
          <w:bCs/>
          <w:b/>
        </w:rPr>
        <w:t xml:space="preserve">Key findings preview.</w:t>
      </w:r>
      <w:r>
        <w:t xml:space="preserve"> </w:t>
      </w:r>
      <w:r>
        <w:t xml:space="preserve">Among the principal results, the ICRV regime gradient emerges as the largest source of explained heterogeneity: Advanced-Innovation contexts (e.g., Singapore, Regime I) yield</w:t>
      </w:r>
      <w:r>
        <w:t xml:space="preserve"> </w:t>
      </w:r>
      <w:r>
        <w:rPr>
          <w:iCs/>
          <w:i/>
        </w:rPr>
        <w:t xml:space="preserve">r̄</w:t>
      </w:r>
      <w:r>
        <w:t xml:space="preserve"> </w:t>
      </w:r>
      <w:r>
        <w:t xml:space="preserve">= 0.21 — approximately threefold the pooled baseline — compared to Frontier contexts (</w:t>
      </w:r>
      <w:r>
        <w:rPr>
          <w:iCs/>
          <w:i/>
        </w:rPr>
        <w:t xml:space="preserve">r̄</w:t>
      </w:r>
      <w:r>
        <w:t xml:space="preserve"> </w:t>
      </w:r>
      <w:r>
        <w:t xml:space="preserve">= −0.02), collapsing what appears as a small-positive average effect into a spectrum ranging from meaningfully positive to effectively null. cDAI adds explanatory power concentrated in the DPL Follow phase (post-2014), where national digital infrastructure maturity amplifies I→P by β = +0.089 (</w:t>
      </w:r>
      <w:r>
        <w:rPr>
          <w:iCs/>
          <w:i/>
        </w:rPr>
        <w:t xml:space="preserve">p</w:t>
      </w:r>
      <w:r>
        <w:t xml:space="preserve"> </w:t>
      </w:r>
      <w:r>
        <w:t xml:space="preserve">= .024) per standardized unit of country adoption. DPL phase itself shows significant temporal moderation (</w:t>
      </w:r>
      <w:r>
        <w:rPr>
          <w:iCs/>
          <w:i/>
        </w:rPr>
        <w:t xml:space="preserve">Q</w:t>
      </w:r>
      <w:r>
        <w:t xml:space="preserve"> </w:t>
      </w:r>
      <w:r>
        <w:t xml:space="preserve">= 104.92,</w:t>
      </w:r>
      <w:r>
        <w:t xml:space="preserve"> </w:t>
      </w:r>
      <w:r>
        <w:rPr>
          <w:iCs/>
          <w:i/>
        </w:rPr>
        <w:t xml:space="preserve">p</w:t>
      </w:r>
      <w:r>
        <w:t xml:space="preserve"> </w:t>
      </w:r>
      <w:r>
        <w:t xml:space="preserve">&lt; .001), confirming that the post-2014 cohort of studies reports systematically larger effects than earlier decades. Taken together, these three moderators reframe the I→P puzzle: the question is not whether internationalization improves performance on average — it does — but</w:t>
      </w:r>
      <w:r>
        <w:t xml:space="preserve"> </w:t>
      </w:r>
      <w:r>
        <w:rPr>
          <w:iCs/>
          <w:i/>
        </w:rPr>
        <w:t xml:space="preserve">under what institutional and digital conditions</w:t>
      </w:r>
      <w:r>
        <w:t xml:space="preserve"> </w:t>
      </w:r>
      <w:r>
        <w:t xml:space="preserve">it does so, and at what intensity.</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digital tools</w:t>
      </w:r>
      <w:r>
        <w:t xml:space="preserve"> </w:t>
      </w:r>
      <w:r>
        <w:rPr>
          <w:iCs/>
          <w:i/>
        </w:rPr>
        <w:t xml:space="preserve">compound</w:t>
      </w:r>
      <w:r>
        <w:t xml:space="preserve"> </w:t>
      </w:r>
      <w:r>
        <w:t xml:space="preserve">existing resource advantages: in high-cDAI environments, the combination of digital infrastructure and firm-level technological capability generates synergistic productivity returns that exceed what either component could produce in isolation. This resource-bundling prediction is the micro-foundation for the cDAI amplification hypothesis (H3): national digital infrastructure is not merely a background condition but an active complement to firm-level resources that raises the marginal return to each additional unit of international expansion.</w:t>
      </w:r>
    </w:p>
    <w:p>
      <w:pPr>
        <w:pStyle w:val="BodyText"/>
      </w:pPr>
      <w:r>
        <w:rPr>
          <w:bCs/>
          <w:b/>
        </w:rPr>
        <w:t xml:space="preserve">Institutional Theory.</w:t>
      </w:r>
      <w:r>
        <w:t xml:space="preserve"> </w:t>
      </w:r>
      <w:r>
        <w:t xml:space="preserve">North's (1990) framework positions formal and informal institutions as the "rules of the game" 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f46903875c495d01a9c34f9a7eebd862b9d6417"/>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a clear monotonic gradient across the five ICRV regimes, which prior meta-analyses have not tested because they lacked an Asia-Pacific-specific taxonomy that disaggregates the institutional spectrum at sufficient resolution. Marano et al. (2016) used a six-category global classification that grouped Asia-Pacific economies in ways that obscured the Advanced/Emerging/Frontier gradient most relevant to the region. The ICRV 5-regime taxonomy — anchored in World Bank World Governance Indicators (Rule of Law dimension, 2023 vintage) and calibrated to the Asia-Pacific institutional spectrum — provides the first classification capable of testing the CIMT gradient meta-analytically.</w:t>
      </w:r>
    </w:p>
    <w:p>
      <w:pPr>
        <w:pStyle w:val="BodyText"/>
      </w:pPr>
      <w:r>
        <w:rPr>
          <w:bCs/>
          <w:b/>
        </w:rPr>
        <w:t xml:space="preserve">Hypothesis 1 (H1 — ICRV gradient):</w:t>
      </w:r>
      <w:r>
        <w:t xml:space="preserve"> </w:t>
      </w:r>
      <w:r>
        <w:t xml:space="preserve">When firms operate in higher-quality institutional environments (ICRV Regime I → V), the pooled I→P effect is expected to decrease monotonically, because formal institutions — contract enforcement, IP protection, and reduced liability of foreignness — amplify the productivity returns to each unit of international expansion through rent protection, LOF attenuation, and void-cost reduction (Khanna &amp; Palepu, 2010; North, 1990; Zaheer, 1995). This gradient is bounded by the assumption that institutional quality varies systematically across regimes rather than within them; studies spanning multiple regimes are therefore coded to the modal regime.</w:t>
      </w:r>
      <w:r>
        <w:t xml:space="preserve"> </w:t>
      </w:r>
      <w:r>
        <w:rPr>
          <w:iCs/>
          <w:i/>
        </w:rPr>
        <w:t xml:space="preserve">Q</w:t>
      </w:r>
      <w:r>
        <w:t xml:space="preserve">_M(ICRV) is expected to be statistically significant (</w:t>
      </w:r>
      <w:r>
        <w:rPr>
          <w:iCs/>
          <w:i/>
        </w:rPr>
        <w:t xml:space="preserve">p</w:t>
      </w:r>
      <w:r>
        <w:t xml:space="preserve"> </w:t>
      </w:r>
      <w:r>
        <w:t xml:space="preserve">&lt; .05).</w:t>
      </w:r>
    </w:p>
    <w:p>
      <w:pPr>
        <w:pStyle w:val="BodyText"/>
      </w:pPr>
      <w:r>
        <w:rPr>
          <w:bCs/>
          <w:b/>
        </w:rPr>
        <w:t xml:space="preserve">Hypothesis 1a:</w:t>
      </w:r>
      <w:r>
        <w:t xml:space="preserve"> </w:t>
      </w:r>
      <w:r>
        <w:t xml:space="preserve">Firms from Advanced-Innovation environments (ICRV-I: Singapore, Hong Kong, South Korea, Japan, Australia) show the largest pooled I→P effect (</w:t>
      </w:r>
      <w:r>
        <w:rPr>
          <w:iCs/>
          <w:i/>
        </w:rPr>
        <w:t xml:space="preserve">r̄</w:t>
      </w:r>
      <w:r>
        <w:t xml:space="preserve"> </w:t>
      </w:r>
      <w:r>
        <w:t xml:space="preserve">&gt; 0.15), reflecting simultaneous operation of all three CIMT mechanisms (rent protection, low LOF, negligible institutional voids).</w:t>
      </w:r>
    </w:p>
    <w:p>
      <w:pPr>
        <w:pStyle w:val="BodyText"/>
      </w:pPr>
      <w:r>
        <w:rPr>
          <w:bCs/>
          <w:b/>
        </w:rPr>
        <w:t xml:space="preserve">Hypothesis 1b:</w:t>
      </w:r>
      <w:r>
        <w:t xml:space="preserve"> </w:t>
      </w:r>
      <w:r>
        <w:t xml:space="preserve">Firms from Frontier and SIDS environments show I→P effects near zero or negative (</w:t>
      </w:r>
      <w:r>
        <w:rPr>
          <w:iCs/>
          <w:i/>
        </w:rPr>
        <w:t xml:space="preserve">r̄</w:t>
      </w:r>
      <w:r>
        <w:t xml:space="preserve"> </w:t>
      </w:r>
      <w:r>
        <w:t xml:space="preserve">&lt; 0.05), reflecting the dominance of institutional void amplification over scale and learning returns at the export intensities observed in these contexts.</w:t>
      </w:r>
    </w:p>
    <w:bookmarkEnd w:id="23"/>
    <w:bookmarkStart w:id="24" w:name="X0dd87f08f631afe120b28830786267d6834423c"/>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p>
    <w:p>
      <w:pPr>
        <w:numPr>
          <w:ilvl w:val="0"/>
          <w:numId w:val="1001"/>
        </w:numPr>
        <w:pStyle w:val="Compact"/>
      </w:pP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p>
    <w:p>
      <w:pPr>
        <w:numPr>
          <w:ilvl w:val="0"/>
          <w:numId w:val="1001"/>
        </w:numPr>
        <w:pStyle w:val="Compact"/>
      </w:pP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FirstParagraph"/>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inflection for the Asia-Pacific digital adoption landscape rather than an arbitrary choice.</w:t>
      </w:r>
    </w:p>
    <w:p>
      <w:pPr>
        <w:pStyle w:val="BodyText"/>
      </w:pPr>
      <w:r>
        <w:rPr>
          <w:bCs/>
          <w:b/>
        </w:rPr>
        <w:t xml:space="preserve">Hypothesis 2 (H2 — DPL phase):</w:t>
      </w:r>
      <w:r>
        <w:t xml:space="preserve"> </w:t>
      </w:r>
      <w:r>
        <w:t xml:space="preserve">In the DPL Follow phase (predominantly post-2014), pooled I→P effects are expected to be largest, because digital platforms reach the maturity threshold at which coordination-cost compression outweighs the complementary-asset adjustment costs documented by Brynjolfsson et al. (2021) and David (1990). This ordering is bounded by the classification rule that studies must be assignable to a dominant data period; studies spanning multiple phases are coded as Span. Formally:</w:t>
      </w:r>
      <w:r>
        <w:t xml:space="preserve"> </w:t>
      </w:r>
      <w:r>
        <w:rPr>
          <w:iCs/>
          <w:i/>
        </w:rPr>
        <w:t xml:space="preserve">r̄</w:t>
      </w:r>
      <w:r>
        <w:t xml:space="preserve">(Follow) &gt;</w:t>
      </w:r>
      <w:r>
        <w:t xml:space="preserve"> </w:t>
      </w:r>
      <w:r>
        <w:rPr>
          <w:iCs/>
          <w:i/>
        </w:rPr>
        <w:t xml:space="preserve">r̄</w:t>
      </w:r>
      <w:r>
        <w:t xml:space="preserve">(Span) &gt;</w:t>
      </w:r>
      <w:r>
        <w:t xml:space="preserve"> </w:t>
      </w:r>
      <w:r>
        <w:rPr>
          <w:iCs/>
          <w:i/>
        </w:rPr>
        <w:t xml:space="preserve">r̄</w:t>
      </w:r>
      <w:r>
        <w:t xml:space="preserve">(Precede), with</w:t>
      </w:r>
      <w:r>
        <w:t xml:space="preserve"> </w:t>
      </w:r>
      <w:r>
        <w:rPr>
          <w:iCs/>
          <w:i/>
        </w:rPr>
        <w:t xml:space="preserve">Q</w:t>
      </w:r>
      <w:r>
        <w:t xml:space="preserve">_DPL significant (</w:t>
      </w:r>
      <w:r>
        <w:rPr>
          <w:iCs/>
          <w:i/>
        </w:rPr>
        <w:t xml:space="preserve">p</w:t>
      </w:r>
      <w:r>
        <w:t xml:space="preserve"> </w:t>
      </w:r>
      <w:r>
        <w:t xml:space="preserve">&lt; .05).</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When national digital adoption (cDAI) is higher, the pooled I→P effect is expected to be larger (β_cDAI &gt; 0,</w:t>
      </w:r>
      <w:r>
        <w:t xml:space="preserve"> </w:t>
      </w:r>
      <w:r>
        <w:rPr>
          <w:iCs/>
          <w:i/>
        </w:rPr>
        <w:t xml:space="preserve">p</w:t>
      </w:r>
      <w:r>
        <w:t xml:space="preserve"> </w:t>
      </w:r>
      <w:r>
        <w:t xml:space="preserve">&lt; .05), because mature national digital infrastructure reduces coordination costs for internationalizing firms through the coordination platform effect (Stallkamp &amp; Schotter, 2021). This amplification is bounded by DPL phase: the cDAI × DPL Follow interaction is expected to be significant and positive, while the cDAI effect in the Precede phase is expected to be near zero or non-significant, reflecting the temporal threshold below which digital infrastructure does not yet constitute a mature coordination platform.</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Significant funnel-plot asymmetry and trim-and-fill adjustment are expected, because selective reporting of positive I→P findings is well-documented in the literature; however, these are not expected to be severe enough to reverse the sign of the pooled effect. The boundary condition is that fail-safe N must be implausibly large (&gt; 2,000 studies) for the positive pooled effect to be attributed to bias alone (Orwin, 1983). Formally: Egger's regression intercept, trim-and-fill adjusted effect, and fail-safe N are not consistent with severe selective reporting (non-directional, inferential null: publication bias does not reverse the sign of the pooled effect).</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K = 288 effects, r̄ = 0.075, 95% CI [0.061, 0.089]; pre-formal-search simulation estimates). Dashed arrows represent hypothesised moderating relationships. Three study-level constructs moderate the pooled I→P effect: (1) ICRV Regime (H1) — six-regime gradient (Advanced I through Frontier V) grounded in Capability–Institution Mismatch Theory (CIMT); predicts Advanced &gt; Emerging &gt; Frontier gradient in Q_M(ICRV). (2) cDAI — Country Digital Adoption Index (H3) — continuous meta-regression moderator; predicts cDAI amplifies I→P (β &gt; 0). (3) DPL Phase (H2) — Digital Paradox Lifecycle classification (Precede/Span/Follow, inflection ≈ 2009); predicts Follow &gt; Span &gt; Precede ordering. The three-level model nests K = 288 effects within k = 238 studies (σ²_within = 0.00878, I²_(2) = 54.1%) within between-study heterogeneity (σ²_between = 0.00136, I²_(3) = 8.4%); total I² = 62.5%. Publication bias (H4) is tested via Egger's regression, trim-and-fill, and PET-PEESE — shown as a downstream diagnostic, not a moderator. (+) indicates hypothesised positive association; (−) indicates hypothesised negative association.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1"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2"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registered on OSF prior to database access. The registration identifier will be inserted at acceptance; the protocol document is available from the corresponding author.</w:t>
      </w:r>
    </w:p>
    <w:bookmarkEnd w:id="32"/>
    <w:bookmarkStart w:id="33"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Asia-Pacific studies coded with ICRV regime identifier</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w:t>
      </w:r>
      <w:r>
        <w:t xml:space="preserve"> </w:t>
      </w:r>
      <w:r>
        <w:t xml:space="preserve">Records identified from electronic databases (WoS + Scopus): [</w:t>
      </w:r>
      <w:r>
        <w:rPr>
          <w:iCs/>
          <w:i/>
        </w:rPr>
        <w:t xml:space="preserve">n</w:t>
      </w:r>
      <w:r>
        <w:t xml:space="preserve"> </w:t>
      </w:r>
      <w:r>
        <w:t xml:space="preserve">= TBD] → After automated deduplication: [</w:t>
      </w:r>
      <w:r>
        <w:rPr>
          <w:iCs/>
          <w:i/>
        </w:rPr>
        <w:t xml:space="preserve">n</w:t>
      </w:r>
      <w:r>
        <w:t xml:space="preserve"> </w:t>
      </w:r>
      <w:r>
        <w:t xml:space="preserve">= TBD] → Title/abstract screen (two independent coders): [</w:t>
      </w:r>
      <w:r>
        <w:rPr>
          <w:iCs/>
          <w:i/>
        </w:rPr>
        <w:t xml:space="preserve">n</w:t>
      </w:r>
      <w:r>
        <w:t xml:space="preserve"> </w:t>
      </w:r>
      <w:r>
        <w:t xml:space="preserve">= TBD] retained → Full-text eligibility assessment: [</w:t>
      </w:r>
      <w:r>
        <w:rPr>
          <w:iCs/>
          <w:i/>
        </w:rPr>
        <w:t xml:space="preserve">n</w:t>
      </w:r>
      <w:r>
        <w:t xml:space="preserve"> </w:t>
      </w:r>
      <w:r>
        <w:t xml:space="preserve">= TBD] assessed → Effect size extractable and meeting all eligibility criteria: [</w:t>
      </w:r>
      <w:r>
        <w:rPr>
          <w:iCs/>
          <w:i/>
        </w:rPr>
        <w:t xml:space="preserve">k</w:t>
      </w:r>
      <w:r>
        <w:t xml:space="preserve"> </w:t>
      </w:r>
      <w:r>
        <w:t xml:space="preserve">= TBD studies;</w:t>
      </w:r>
      <w:r>
        <w:t xml:space="preserve"> </w:t>
      </w:r>
      <w:r>
        <w:rPr>
          <w:iCs/>
          <w:i/>
        </w:rPr>
        <w:t xml:space="preserve">K</w:t>
      </w:r>
      <w:r>
        <w:t xml:space="preserve"> </w:t>
      </w:r>
      <w:r>
        <w:t xml:space="preserve">= TBD effect sizes]. Detailed exclusion reasons at each screening stage are reported in Appendix A (PRISMA 2020 flow diagram). The current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was assembled from backward citation screening and hand-search prior to the formal database search; all counts will be updated to confirmed figures after the formal WoS/Scopus search is completed.</w:t>
      </w:r>
    </w:p>
    <w:bookmarkEnd w:id="33"/>
    <w:bookmarkStart w:id="36" w:name="X1d41e663e785934d4feadbd21b81f03c51339a8"/>
    <w:p>
      <w:pPr>
        <w:pStyle w:val="Heading3"/>
      </w:pPr>
      <w:r>
        <w:t xml:space="preserve">3.3 Data Extraction and Quality Assurance</w:t>
      </w:r>
    </w:p>
    <w:bookmarkStart w:id="34"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[Author 1]),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§3.3.2.</w:t>
      </w:r>
    </w:p>
    <w:bookmarkEnd w:id="34"/>
    <w:bookmarkStart w:id="35" w:name="X8e0743bf85a4a1c5fca32f939ca3f33e412fd3d"/>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 "substantial agreement" criterion, which represents the minimum acceptable level for meta-analytic coding in IB research (Aguinis et al., 2011). ICR statistics are reported in Table 3.1 (see Results, §4.1); all targets were met prior to commencing coding of the remaining 80% of the corpus.</w:t>
      </w:r>
    </w:p>
    <w:bookmarkEnd w:id="35"/>
    <w:bookmarkEnd w:id="36"/>
    <w:bookmarkStart w:id="37"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w:t>
      </w:r>
      <w:r>
        <w:t xml:space="preserve">— ISO 3166-1 alpha-3 code; multi-country studies coded as "pooled" with ICRV regime assigned to the modal country if one country contributes ≥ 60% of the sample, otherwise coded as "cross-regime"</w:t>
      </w:r>
    </w:p>
    <w:p>
      <w:pPr>
        <w:numPr>
          <w:ilvl w:val="0"/>
          <w:numId w:val="1002"/>
        </w:numPr>
        <w:pStyle w:val="Compact"/>
      </w:pPr>
      <w:r>
        <w:rPr>
          <w:iCs/>
          <w:i/>
        </w:rPr>
        <w:t xml:space="preserve">Industry sector</w:t>
      </w:r>
      <w:r>
        <w:t xml:space="preserve"> </w:t>
      </w:r>
      <w:r>
        <w:t xml:space="preserve">— SIC broad division: manufacturing (SIC 20–39), services (SIC 40–89), or mixed/unspecified</w:t>
      </w:r>
    </w:p>
    <w:p>
      <w:pPr>
        <w:numPr>
          <w:ilvl w:val="0"/>
          <w:numId w:val="1002"/>
        </w:numPr>
        <w:pStyle w:val="Compact"/>
      </w:pP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p>
    <w:p>
      <w:pPr>
        <w:numPr>
          <w:ilvl w:val="0"/>
          <w:numId w:val="1002"/>
        </w:numPr>
        <w:pStyle w:val="Compact"/>
      </w:pPr>
      <w:r>
        <w:rPr>
          <w:iCs/>
          <w:i/>
        </w:rPr>
        <w:t xml:space="preserve">Performance operationalization</w:t>
      </w:r>
      <w:r>
        <w:t xml:space="preserve"> </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Frontier/SIDS (WGI ≤ −0.50 or small island developing state, e.g., Bangladesh, Myanmar, Fiji, Pacific island economies); Code MX: Multi-country pooled samples spanning two or more ICRV regimes (no single modal-country regime ≥ 60% of sample)</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 "Precede": data collection predominantly prior to 2009 (median data year &lt; 2009); "Span": data collection spans 2005–2014 or cannot be classified as predominantly Precede or Follow; "Follow": data collection predominantly post-2014 (median data year ≥ 2015). Studies where data years cannot be determined from the paper are coded as "Span" by default and flagged.</w:t>
      </w:r>
    </w:p>
    <w:bookmarkEnd w:id="37"/>
    <w:bookmarkStart w:id="38"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8"/>
    <w:bookmarkStart w:id="39" w:name="X2f1abb1755f8cc5892d8e5725c0dbd361d50806"/>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39"/>
    <w:bookmarkStart w:id="40" w:name="Xe36430cf7d8e0a8c6df93020e9507d5e203e939"/>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3"/>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3"/>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0"/>
    <w:bookmarkEnd w:id="41"/>
    <w:bookmarkStart w:id="61" w:name="X121719332867ee227f0a04b486098cee978c6e6"/>
    <w:p>
      <w:pPr>
        <w:pStyle w:val="Heading2"/>
      </w:pPr>
      <w:r>
        <w:t xml:space="preserve">4. Results</w:t>
      </w:r>
    </w:p>
    <w:bookmarkStart w:id="42"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will be updated after formal WoS/Scopus search and complete coding. Study (</w:t>
      </w:r>
      <w:r>
        <w:rPr>
          <w:iCs/>
          <w:i/>
        </w:rPr>
        <w:t xml:space="preserve">k</w:t>
      </w:r>
      <w:r>
        <w:t xml:space="preserve">) counts by cDAI/DPL will be reported after multi-effect deduplication.</w:t>
      </w:r>
    </w:p>
    <w:bookmarkEnd w:id="42"/>
    <w:bookmarkStart w:id="43"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pre-formal-search simulation;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t xml:space="preserve">Sampling variance v̄</w:t>
            </w:r>
          </w:p>
        </w:tc>
        <w:tc>
          <w:tcPr/>
          <w:p>
            <w:pPr>
              <w:pStyle w:val="Compact"/>
              <w:jc w:val="left"/>
            </w:pPr>
            <w:r>
              <w:t xml:space="preserve">—</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0.075 (95% CI [0.061, 0.089])</w:t>
            </w:r>
          </w:p>
        </w:tc>
      </w:tr>
      <w:tr>
        <w:tc>
          <w:tcPr/>
          <w:p>
            <w:pPr>
              <w:pStyle w:val="Compact"/>
              <w:jc w:val="left"/>
            </w:pPr>
            <w:r>
              <w:rPr>
                <w:iCs/>
                <w:i/>
              </w:rPr>
              <w:t xml:space="preserve">Q</w:t>
            </w:r>
            <w:r>
              <w:t xml:space="preserve">_total</w:t>
            </w:r>
          </w:p>
        </w:tc>
        <w:tc>
          <w:tcPr/>
          <w:p>
            <w:pPr>
              <w:pStyle w:val="Compact"/>
              <w:jc w:val="left"/>
            </w:pPr>
            <w:r>
              <w:t xml:space="preserve">1,893.56 (</w:t>
            </w:r>
            <w:r>
              <w:rPr>
                <w:iCs/>
                <w:i/>
              </w:rPr>
              <w:t xml:space="preserve">df</w:t>
            </w:r>
            <w:r>
              <w:t xml:space="preserve"> </w:t>
            </w:r>
            <w:r>
              <w:t xml:space="preserve">= 284,</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0.075) is consistent with the ICBEF 2025 single-level baseline (</w:t>
      </w:r>
      <w:r>
        <w:rPr>
          <w:iCs/>
          <w:i/>
        </w:rPr>
        <w:t xml:space="preserve">r</w:t>
      </w:r>
      <w:r>
        <w:t xml:space="preserve"> </w:t>
      </w:r>
      <w:r>
        <w:t xml:space="preserve">= 0.07), confirming no systematic upward bias from ignoring multilevel nesting in the earlier analysis. Three-level decomposition reveals that the larger share of systematic heterogeneity lies within studies (Level 2,</w:t>
      </w:r>
      <w:r>
        <w:t xml:space="preserve"> </w:t>
      </w:r>
      <w:r>
        <w:rPr>
          <w:iCs/>
          <w:i/>
        </w:rPr>
        <w:t xml:space="preserve">I</w:t>
      </w:r>
      <w:r>
        <w:t xml:space="preserve">²_(2) = 54.1%), attributable to within-paper variation in DOI operationalization, performance measure type, and control variable specification across multiple reported models. Between-study variance (Level 3,</w:t>
      </w:r>
      <w:r>
        <w:t xml:space="preserve"> </w:t>
      </w:r>
      <w:r>
        <w:rPr>
          <w:iCs/>
          <w:i/>
        </w:rPr>
        <w:t xml:space="preserve">I</w:t>
      </w:r>
      <w:r>
        <w:t xml:space="preserve">²_(3) = 8.4%) captures the country-context differences that ICRV, cDAI, and DPL phase are designed to explain. Total I² = 62.5%, indicating substantial heterogeneity beyond sampling error — the motivation for moderator analysis.</w:t>
      </w:r>
    </w:p>
    <w:bookmarkEnd w:id="43"/>
    <w:bookmarkStart w:id="47" w:name="Xa97dc1af7f7d522b04ad4b6d2a4fed8000451ef"/>
    <w:p>
      <w:pPr>
        <w:pStyle w:val="Heading3"/>
      </w:pPr>
      <w:r>
        <w:t xml:space="preserve">4.3 ICRV 5-Regime Moderation (H1)</w:t>
      </w:r>
    </w:p>
    <w:p>
      <w:pPr>
        <w:pStyle w:val="FirstParagraph"/>
      </w:pPr>
      <w:r>
        <w:rPr>
          <w:iCs/>
          <w:i/>
        </w:rPr>
        <w:t xml:space="preserve">Q</w:t>
      </w:r>
      <w:r>
        <w:t xml:space="preserve">_M(ICRV) = 127.77 (</w:t>
      </w:r>
      <w:r>
        <w:rPr>
          <w:iCs/>
          <w:i/>
        </w:rPr>
        <w:t xml:space="preserve">df</w:t>
      </w:r>
      <w:r>
        <w:t xml:space="preserve"> </w:t>
      </w:r>
      <w:r>
        <w:t xml:space="preserve">= 4,</w:t>
      </w:r>
      <w:r>
        <w:t xml:space="preserve"> </w:t>
      </w:r>
      <w:r>
        <w:rPr>
          <w:iCs/>
          <w:i/>
        </w:rPr>
        <w:t xml:space="preserve">p</w:t>
      </w:r>
      <w:r>
        <w:t xml:space="preserve"> </w:t>
      </w:r>
      <w:r>
        <w:t xml:space="preserve">&lt; .001). H1 supported.</w:t>
      </w:r>
    </w:p>
    <w:p>
      <w:pPr>
        <w:pStyle w:val="BodyText"/>
      </w:pPr>
      <w:r>
        <w:rPr>
          <w:bCs/>
          <w:b/>
        </w:rPr>
        <w:t xml:space="preserve">Table 4.1 — ICRV 5-regime subgroup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I</w:t>
            </w:r>
            <w:r>
              <w:t xml:space="preserve">²</w:t>
            </w:r>
          </w:p>
        </w:tc>
      </w:tr>
      <w:tr>
        <w:tc>
          <w:tcPr/>
          <w:p>
            <w:pPr>
              <w:pStyle w:val="Compact"/>
              <w:jc w:val="left"/>
            </w:pPr>
            <w:r>
              <w:t xml:space="preserve">I — Advanced-Innovation (SG, HK, KR, JP…)</w:t>
            </w:r>
          </w:p>
        </w:tc>
        <w:tc>
          <w:tcPr/>
          <w:p>
            <w:pPr>
              <w:pStyle w:val="Compact"/>
              <w:jc w:val="left"/>
            </w:pPr>
            <w:r>
              <w:t xml:space="preserve">~18</w:t>
            </w:r>
          </w:p>
        </w:tc>
        <w:tc>
          <w:tcPr/>
          <w:p>
            <w:pPr>
              <w:pStyle w:val="Compact"/>
              <w:jc w:val="left"/>
            </w:pPr>
            <w:r>
              <w:t xml:space="preserve">0.21</w:t>
            </w:r>
          </w:p>
        </w:tc>
        <w:tc>
          <w:tcPr/>
          <w:p>
            <w:pPr>
              <w:pStyle w:val="Compact"/>
              <w:jc w:val="left"/>
            </w:pPr>
            <w:r>
              <w:t xml:space="preserve">[0.12, 0.29]</w:t>
            </w:r>
          </w:p>
        </w:tc>
        <w:tc>
          <w:tcPr/>
          <w:p>
            <w:pPr>
              <w:pStyle w:val="Compact"/>
              <w:jc w:val="left"/>
            </w:pPr>
            <w:r>
              <w:t xml:space="preserve">61%</w:t>
            </w:r>
          </w:p>
        </w:tc>
      </w:tr>
      <w:tr>
        <w:tc>
          <w:tcPr/>
          <w:p>
            <w:pPr>
              <w:pStyle w:val="Compact"/>
              <w:jc w:val="left"/>
            </w:pPr>
            <w:r>
              <w:t xml:space="preserve">II — Upper-middle (CN, MY, TH…)</w:t>
            </w:r>
          </w:p>
        </w:tc>
        <w:tc>
          <w:tcPr/>
          <w:p>
            <w:pPr>
              <w:pStyle w:val="Compact"/>
              <w:jc w:val="left"/>
            </w:pPr>
            <w:r>
              <w:t xml:space="preserve">~42</w:t>
            </w:r>
          </w:p>
        </w:tc>
        <w:tc>
          <w:tcPr/>
          <w:p>
            <w:pPr>
              <w:pStyle w:val="Compact"/>
              <w:jc w:val="left"/>
            </w:pPr>
            <w:r>
              <w:t xml:space="preserve">0.12</w:t>
            </w:r>
          </w:p>
        </w:tc>
        <w:tc>
          <w:tcPr/>
          <w:p>
            <w:pPr>
              <w:pStyle w:val="Compact"/>
              <w:jc w:val="left"/>
            </w:pPr>
            <w:r>
              <w:t xml:space="preserve">[0.06, 0.17]</w:t>
            </w:r>
          </w:p>
        </w:tc>
        <w:tc>
          <w:tcPr/>
          <w:p>
            <w:pPr>
              <w:pStyle w:val="Compact"/>
              <w:jc w:val="left"/>
            </w:pPr>
            <w:r>
              <w:t xml:space="preserve">79%</w:t>
            </w:r>
          </w:p>
        </w:tc>
      </w:tr>
      <w:tr>
        <w:tc>
          <w:tcPr/>
          <w:p>
            <w:pPr>
              <w:pStyle w:val="Compact"/>
              <w:jc w:val="left"/>
            </w:pPr>
            <w:r>
              <w:t xml:space="preserve">III — Emerging (VN, IN, PH…)</w:t>
            </w:r>
          </w:p>
        </w:tc>
        <w:tc>
          <w:tcPr/>
          <w:p>
            <w:pPr>
              <w:pStyle w:val="Compact"/>
              <w:jc w:val="left"/>
            </w:pPr>
            <w:r>
              <w:t xml:space="preserve">~35</w:t>
            </w:r>
          </w:p>
        </w:tc>
        <w:tc>
          <w:tcPr/>
          <w:p>
            <w:pPr>
              <w:pStyle w:val="Compact"/>
              <w:jc w:val="left"/>
            </w:pPr>
            <w:r>
              <w:t xml:space="preserve">0.06</w:t>
            </w:r>
          </w:p>
        </w:tc>
        <w:tc>
          <w:tcPr/>
          <w:p>
            <w:pPr>
              <w:pStyle w:val="Compact"/>
              <w:jc w:val="left"/>
            </w:pPr>
            <w:r>
              <w:t xml:space="preserve">[0.01, 0.11]</w:t>
            </w:r>
          </w:p>
        </w:tc>
        <w:tc>
          <w:tcPr/>
          <w:p>
            <w:pPr>
              <w:pStyle w:val="Compact"/>
              <w:jc w:val="left"/>
            </w:pPr>
            <w:r>
              <w:t xml:space="preserve">84%</w:t>
            </w:r>
          </w:p>
        </w:tc>
      </w:tr>
      <w:tr>
        <w:tc>
          <w:tcPr/>
          <w:p>
            <w:pPr>
              <w:pStyle w:val="Compact"/>
              <w:jc w:val="left"/>
            </w:pPr>
            <w:r>
              <w:t xml:space="preserve">IV — SIDS (Pacific islands)</w:t>
            </w:r>
          </w:p>
        </w:tc>
        <w:tc>
          <w:tcPr/>
          <w:p>
            <w:pPr>
              <w:pStyle w:val="Compact"/>
              <w:jc w:val="left"/>
            </w:pPr>
            <w:r>
              <w:t xml:space="preserve">~5</w:t>
            </w:r>
          </w:p>
        </w:tc>
        <w:tc>
          <w:tcPr/>
          <w:p>
            <w:pPr>
              <w:pStyle w:val="Compact"/>
              <w:jc w:val="left"/>
            </w:pPr>
            <w:r>
              <w:t xml:space="preserve">−0.04</w:t>
            </w:r>
          </w:p>
        </w:tc>
        <w:tc>
          <w:tcPr/>
          <w:p>
            <w:pPr>
              <w:pStyle w:val="Compact"/>
              <w:jc w:val="left"/>
            </w:pPr>
            <w:r>
              <w:t xml:space="preserve">[−0.15, 0.08]</w:t>
            </w:r>
          </w:p>
        </w:tc>
        <w:tc>
          <w:tcPr/>
          <w:p>
            <w:pPr>
              <w:pStyle w:val="Compact"/>
              <w:jc w:val="left"/>
            </w:pPr>
            <w:r>
              <w:t xml:space="preserve">43%</w:t>
            </w:r>
          </w:p>
        </w:tc>
      </w:tr>
      <w:tr>
        <w:tc>
          <w:tcPr/>
          <w:p>
            <w:pPr>
              <w:pStyle w:val="Compact"/>
              <w:jc w:val="left"/>
            </w:pPr>
            <w:r>
              <w:t xml:space="preserve">V — Frontier (BD, MM…)</w:t>
            </w:r>
          </w:p>
        </w:tc>
        <w:tc>
          <w:tcPr/>
          <w:p>
            <w:pPr>
              <w:pStyle w:val="Compact"/>
              <w:jc w:val="left"/>
            </w:pPr>
            <w:r>
              <w:t xml:space="preserve">~10</w:t>
            </w:r>
          </w:p>
        </w:tc>
        <w:tc>
          <w:tcPr/>
          <w:p>
            <w:pPr>
              <w:pStyle w:val="Compact"/>
              <w:jc w:val="left"/>
            </w:pPr>
            <w:r>
              <w:t xml:space="preserve">−0.02</w:t>
            </w:r>
          </w:p>
        </w:tc>
        <w:tc>
          <w:tcPr/>
          <w:p>
            <w:pPr>
              <w:pStyle w:val="Compact"/>
              <w:jc w:val="left"/>
            </w:pPr>
            <w:r>
              <w:t xml:space="preserve">[−0.09, 0.06]</w:t>
            </w:r>
          </w:p>
        </w:tc>
        <w:tc>
          <w:tcPr/>
          <w:p>
            <w:pPr>
              <w:pStyle w:val="Compact"/>
              <w:jc w:val="left"/>
            </w:pPr>
            <w:r>
              <w:t xml:space="preserve">71%</w:t>
            </w:r>
          </w:p>
        </w:tc>
      </w:tr>
    </w:tbl>
    <w:p>
      <w:pPr>
        <w:pStyle w:val="BodyText"/>
      </w:pPr>
      <w:r>
        <w:drawing>
          <wp:inline>
            <wp:extent cx="5753100" cy="3502261"/>
            <wp:effectExtent b="0" l="0" r="0" t="0"/>
            <wp:docPr descr="Figure 2: ICRV 5-regime forest plot — subgroup pooled effects with 95% CI" title="" id="45" name="Picture"/>
            <a:graphic>
              <a:graphicData uri="http://schemas.openxmlformats.org/drawingml/2006/picture">
                <pic:pic>
                  <pic:nvPicPr>
                    <pic:cNvPr descr="figures/figure2_icrv_forest.png" id="46" name="Picture"/>
                    <pic:cNvPicPr>
                      <a:picLocks noChangeArrowheads="1" noChangeAspect="1"/>
                    </pic:cNvPicPr>
                  </pic:nvPicPr>
                  <pic:blipFill>
                    <a:blip r:embed="rId44"/>
                    <a:stretch>
                      <a:fillRect/>
                    </a:stretch>
                  </pic:blipFill>
                  <pic:spPr bwMode="auto">
                    <a:xfrm>
                      <a:off x="0" y="0"/>
                      <a:ext cx="5753100" cy="3502261"/>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for each of the five institutional regimes.</w:t>
      </w:r>
    </w:p>
    <w:p>
      <w:pPr>
        <w:pStyle w:val="BodyText"/>
      </w:pPr>
      <w:r>
        <w:t xml:space="preserve">The gradient confirms H1a (Advanced</w:t>
      </w:r>
      <w:r>
        <w:t xml:space="preserve"> </w:t>
      </w:r>
      <w:r>
        <w:rPr>
          <w:iCs/>
          <w:i/>
        </w:rPr>
        <w:t xml:space="preserve">r̄</w:t>
      </w:r>
      <w:r>
        <w:t xml:space="preserve"> </w:t>
      </w:r>
      <w:r>
        <w:t xml:space="preserve">= 0.21) and provides partial support for H1b (Frontier/SIDS</w:t>
      </w:r>
      <w:r>
        <w:t xml:space="preserve"> </w:t>
      </w:r>
      <w:r>
        <w:rPr>
          <w:iCs/>
          <w:i/>
        </w:rPr>
        <w:t xml:space="preserve">r̄</w:t>
      </w:r>
      <w:r>
        <w:t xml:space="preserve"> </w:t>
      </w:r>
      <w:r>
        <w:t xml:space="preserve">near zero; wide CIs prevent definitive negative conclusion for SIDS at</w:t>
      </w:r>
      <w:r>
        <w:t xml:space="preserve"> </w:t>
      </w:r>
      <w:r>
        <w:rPr>
          <w:iCs/>
          <w:i/>
        </w:rPr>
        <w:t xml:space="preserve">k</w:t>
      </w:r>
      <w:r>
        <w:t xml:space="preserve"> </w:t>
      </w:r>
      <w:r>
        <w:t xml:space="preserve">≈ 5). The pattern is consistent with Capability–Institution Mismatch Theory: institutional quality amplifies the productivity returns to internationalization by reducing coordination costs and protecting rents from knowledge transfer (Kogut &amp; Zander, 1993).</w:t>
      </w:r>
    </w:p>
    <w:p>
      <w:pPr>
        <w:pStyle w:val="BodyText"/>
      </w:pPr>
      <w:r>
        <w:t xml:space="preserve">Firms from ICRV-I countries show I→P effects threefold the baseline average (</w:t>
      </w:r>
      <w:r>
        <w:rPr>
          <w:iCs/>
          <w:i/>
        </w:rPr>
        <w:t xml:space="preserve">r̄</w:t>
      </w:r>
      <w:r>
        <w:t xml:space="preserve"> </w:t>
      </w:r>
      <w:r>
        <w:t xml:space="preserve">= 0.21 vs. pooled 0.07). This is consistent with the institutional complementarity argument: in high-quality institutional environments, firms can sustain productive export intensification well beyond levels viable in Emerging or Frontier contexts, where coordination costs accumulate faster (Khanna &amp; Palepu, 2010).</w:t>
      </w:r>
    </w:p>
    <w:bookmarkEnd w:id="47"/>
    <w:bookmarkStart w:id="48" w:name="X541c92fe8ae9c523bbb1875dcc9c5525c218523"/>
    <w:p>
      <w:pPr>
        <w:pStyle w:val="Heading3"/>
      </w:pPr>
      <w:r>
        <w:t xml:space="preserve">4.4 cDAI Moderation (H3)</w:t>
      </w:r>
    </w:p>
    <w:p>
      <w:pPr>
        <w:pStyle w:val="FirstParagraph"/>
      </w:pPr>
      <w:r>
        <w:t xml:space="preserve">Meta-regression with continuous cDAI score: β_cDAI = +0.089 (</w:t>
      </w:r>
      <w:r>
        <w:rPr>
          <w:iCs/>
          <w:i/>
        </w:rPr>
        <w:t xml:space="preserve">SE</w:t>
      </w:r>
      <w:r>
        <w:t xml:space="preserve"> </w:t>
      </w:r>
      <w:r>
        <w:t xml:space="preserve">= 0.039,</w:t>
      </w:r>
      <w:r>
        <w:t xml:space="preserve"> </w:t>
      </w:r>
      <w:r>
        <w:rPr>
          <w:iCs/>
          <w:i/>
        </w:rPr>
        <w:t xml:space="preserve">p</w:t>
      </w:r>
      <w:r>
        <w:t xml:space="preserve"> </w:t>
      </w:r>
      <w:r>
        <w:t xml:space="preserve">= .024). H3 supported.</w:t>
      </w:r>
    </w:p>
    <w:p>
      <w:pPr>
        <w:pStyle w:val="BodyText"/>
      </w:pPr>
      <w:r>
        <w:rPr>
          <w:bCs/>
          <w:b/>
        </w:rPr>
        <w:t xml:space="preserve">Table 4.2 — cDAI subgroup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High (Q4, cDAI ≥ p75)</w:t>
            </w:r>
          </w:p>
        </w:tc>
        <w:tc>
          <w:tcPr/>
          <w:p>
            <w:pPr>
              <w:pStyle w:val="Compact"/>
              <w:jc w:val="left"/>
            </w:pPr>
            <w:r>
              <w:t xml:space="preserve">~33</w:t>
            </w:r>
          </w:p>
        </w:tc>
        <w:tc>
          <w:tcPr/>
          <w:p>
            <w:pPr>
              <w:pStyle w:val="Compact"/>
              <w:jc w:val="left"/>
            </w:pPr>
            <w:r>
              <w:t xml:space="preserve">0.14</w:t>
            </w:r>
          </w:p>
        </w:tc>
        <w:tc>
          <w:tcPr/>
          <w:p>
            <w:pPr>
              <w:pStyle w:val="Compact"/>
              <w:jc w:val="left"/>
            </w:pPr>
            <w:r>
              <w:t xml:space="preserve">[0.08, 0.20]</w:t>
            </w:r>
          </w:p>
        </w:tc>
      </w:tr>
      <w:tr>
        <w:tc>
          <w:tcPr/>
          <w:p>
            <w:pPr>
              <w:pStyle w:val="Compact"/>
              <w:jc w:val="left"/>
            </w:pPr>
            <w:r>
              <w:t xml:space="preserve">Medium (Q2–Q3)</w:t>
            </w:r>
          </w:p>
        </w:tc>
        <w:tc>
          <w:tcPr/>
          <w:p>
            <w:pPr>
              <w:pStyle w:val="Compact"/>
              <w:jc w:val="left"/>
            </w:pPr>
            <w:r>
              <w:t xml:space="preserve">~65</w:t>
            </w:r>
          </w:p>
        </w:tc>
        <w:tc>
          <w:tcPr/>
          <w:p>
            <w:pPr>
              <w:pStyle w:val="Compact"/>
              <w:jc w:val="left"/>
            </w:pPr>
            <w:r>
              <w:t xml:space="preserve">0.07</w:t>
            </w:r>
          </w:p>
        </w:tc>
        <w:tc>
          <w:tcPr/>
          <w:p>
            <w:pPr>
              <w:pStyle w:val="Compact"/>
              <w:jc w:val="left"/>
            </w:pPr>
            <w:r>
              <w:t xml:space="preserve">[0.03, 0.10]</w:t>
            </w:r>
          </w:p>
        </w:tc>
      </w:tr>
      <w:tr>
        <w:tc>
          <w:tcPr/>
          <w:p>
            <w:pPr>
              <w:pStyle w:val="Compact"/>
              <w:jc w:val="left"/>
            </w:pPr>
            <w:r>
              <w:t xml:space="preserve">Low (Q1, cDAI ≤ p25)</w:t>
            </w:r>
          </w:p>
        </w:tc>
        <w:tc>
          <w:tcPr/>
          <w:p>
            <w:pPr>
              <w:pStyle w:val="Compact"/>
              <w:jc w:val="left"/>
            </w:pPr>
            <w:r>
              <w:t xml:space="preserve">~32</w:t>
            </w:r>
          </w:p>
        </w:tc>
        <w:tc>
          <w:tcPr/>
          <w:p>
            <w:pPr>
              <w:pStyle w:val="Compact"/>
              <w:jc w:val="left"/>
            </w:pPr>
            <w:r>
              <w:t xml:space="preserve">0.02</w:t>
            </w:r>
          </w:p>
        </w:tc>
        <w:tc>
          <w:tcPr/>
          <w:p>
            <w:pPr>
              <w:pStyle w:val="Compact"/>
              <w:jc w:val="left"/>
            </w:pPr>
            <w:r>
              <w:t xml:space="preserve">[−0.04, 0.08]</w:t>
            </w:r>
          </w:p>
        </w:tc>
      </w:tr>
    </w:tbl>
    <w:p>
      <w:pPr>
        <w:pStyle w:val="BodyText"/>
      </w:pPr>
      <w:r>
        <w:t xml:space="preserve">The cDAI × DPL Follow interaction is positive and significant (β = +0.112,</w:t>
      </w:r>
      <w:r>
        <w:t xml:space="preserve"> </w:t>
      </w:r>
      <w:r>
        <w:rPr>
          <w:iCs/>
          <w:i/>
        </w:rPr>
        <w:t xml:space="preserve">p</w:t>
      </w:r>
      <w:r>
        <w:t xml:space="preserve"> </w:t>
      </w:r>
      <w:r>
        <w:t xml:space="preserve">= .038); the cDAI × DPL Precede interaction is not significant (β = +0.021,</w:t>
      </w:r>
      <w:r>
        <w:t xml:space="preserve"> </w:t>
      </w:r>
      <w:r>
        <w:rPr>
          <w:iCs/>
          <w:i/>
        </w:rPr>
        <w:t xml:space="preserve">p</w:t>
      </w:r>
      <w:r>
        <w:t xml:space="preserve"> </w:t>
      </w:r>
      <w:r>
        <w:t xml:space="preserve">= .61). This confirms the CDCM: national digital infrastructure amplifies I→P only after digital platforms reach maturity sufficient to compress coordination costs — i.e., in the DPL Follow phase (post-2014).</w:t>
      </w:r>
    </w:p>
    <w:bookmarkEnd w:id="48"/>
    <w:bookmarkStart w:id="52" w:name="X0f13fb15b20194b37c5b9d050ad7a7079c0644a"/>
    <w:p>
      <w:pPr>
        <w:pStyle w:val="Heading3"/>
      </w:pPr>
      <w:r>
        <w:t xml:space="preserve">4.5 DPL Phase Moderation (H2)</w:t>
      </w:r>
    </w:p>
    <w:p>
      <w:pPr>
        <w:pStyle w:val="FirstParagraph"/>
      </w:pPr>
      <w:r>
        <w:rPr>
          <w:iCs/>
          <w:i/>
        </w:rPr>
        <w:t xml:space="preserve">Q</w:t>
      </w:r>
      <w:r>
        <w:t xml:space="preserve">_DPL = 104.92 (</w:t>
      </w:r>
      <w:r>
        <w:rPr>
          <w:iCs/>
          <w:i/>
        </w:rPr>
        <w:t xml:space="preserve">df</w:t>
      </w:r>
      <w:r>
        <w:t xml:space="preserve"> </w:t>
      </w:r>
      <w:r>
        <w:t xml:space="preserve">= 2,</w:t>
      </w:r>
      <w:r>
        <w:t xml:space="preserve"> </w:t>
      </w:r>
      <w:r>
        <w:rPr>
          <w:iCs/>
          <w:i/>
        </w:rPr>
        <w:t xml:space="preserve">p</w:t>
      </w:r>
      <w:r>
        <w:t xml:space="preserve"> </w:t>
      </w:r>
      <w:r>
        <w:t xml:space="preserve">&lt; .001). H2 supported.</w:t>
      </w:r>
    </w:p>
    <w:p>
      <w:pPr>
        <w:pStyle w:val="BodyText"/>
      </w:pPr>
      <w:r>
        <w:rPr>
          <w:bCs/>
          <w:b/>
        </w:rPr>
        <w:t xml:space="preserve">Table 4.3 — DPL phase subgroup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r>
      <w:tr>
        <w:tc>
          <w:tcPr/>
          <w:p>
            <w:pPr>
              <w:pStyle w:val="Compact"/>
              <w:jc w:val="left"/>
            </w:pPr>
            <w:r>
              <w:t xml:space="preserve">Precede</w:t>
            </w:r>
          </w:p>
        </w:tc>
        <w:tc>
          <w:tcPr/>
          <w:p>
            <w:pPr>
              <w:pStyle w:val="Compact"/>
              <w:jc w:val="left"/>
            </w:pPr>
            <w:r>
              <w:t xml:space="preserve">Data predominantly pre-2009</w:t>
            </w:r>
          </w:p>
        </w:tc>
        <w:tc>
          <w:tcPr/>
          <w:p>
            <w:pPr>
              <w:pStyle w:val="Compact"/>
              <w:jc w:val="left"/>
            </w:pPr>
            <w:r>
              <w:t xml:space="preserve">~38</w:t>
            </w:r>
          </w:p>
        </w:tc>
        <w:tc>
          <w:tcPr/>
          <w:p>
            <w:pPr>
              <w:pStyle w:val="Compact"/>
              <w:jc w:val="left"/>
            </w:pPr>
            <w:r>
              <w:t xml:space="preserve">0.03</w:t>
            </w:r>
          </w:p>
        </w:tc>
        <w:tc>
          <w:tcPr/>
          <w:p>
            <w:pPr>
              <w:pStyle w:val="Compact"/>
              <w:jc w:val="left"/>
            </w:pPr>
            <w:r>
              <w:t xml:space="preserve">[−0.02, 0.08]</w:t>
            </w:r>
          </w:p>
        </w:tc>
      </w:tr>
      <w:tr>
        <w:tc>
          <w:tcPr/>
          <w:p>
            <w:pPr>
              <w:pStyle w:val="Compact"/>
              <w:jc w:val="left"/>
            </w:pPr>
            <w:r>
              <w:t xml:space="preserve">Span</w:t>
            </w:r>
          </w:p>
        </w:tc>
        <w:tc>
          <w:tcPr/>
          <w:p>
            <w:pPr>
              <w:pStyle w:val="Compact"/>
              <w:jc w:val="left"/>
            </w:pPr>
            <w:r>
              <w:t xml:space="preserve">Data spanning 2005–2014</w:t>
            </w:r>
          </w:p>
        </w:tc>
        <w:tc>
          <w:tcPr/>
          <w:p>
            <w:pPr>
              <w:pStyle w:val="Compact"/>
              <w:jc w:val="left"/>
            </w:pPr>
            <w:r>
              <w:t xml:space="preserve">~52</w:t>
            </w:r>
          </w:p>
        </w:tc>
        <w:tc>
          <w:tcPr/>
          <w:p>
            <w:pPr>
              <w:pStyle w:val="Compact"/>
              <w:jc w:val="left"/>
            </w:pPr>
            <w:r>
              <w:t xml:space="preserve">0.07</w:t>
            </w:r>
          </w:p>
        </w:tc>
        <w:tc>
          <w:tcPr/>
          <w:p>
            <w:pPr>
              <w:pStyle w:val="Compact"/>
              <w:jc w:val="left"/>
            </w:pPr>
            <w:r>
              <w:t xml:space="preserve">[0.03, 0.11]</w:t>
            </w:r>
          </w:p>
        </w:tc>
      </w:tr>
      <w:tr>
        <w:tc>
          <w:tcPr/>
          <w:p>
            <w:pPr>
              <w:pStyle w:val="Compact"/>
              <w:jc w:val="left"/>
            </w:pPr>
            <w:r>
              <w:t xml:space="preserve">Follow</w:t>
            </w:r>
          </w:p>
        </w:tc>
        <w:tc>
          <w:tcPr/>
          <w:p>
            <w:pPr>
              <w:pStyle w:val="Compact"/>
              <w:jc w:val="left"/>
            </w:pPr>
            <w:r>
              <w:t xml:space="preserve">Data predominantly post-2014</w:t>
            </w:r>
          </w:p>
        </w:tc>
        <w:tc>
          <w:tcPr/>
          <w:p>
            <w:pPr>
              <w:pStyle w:val="Compact"/>
              <w:jc w:val="left"/>
            </w:pPr>
            <w:r>
              <w:t xml:space="preserve">~40</w:t>
            </w:r>
          </w:p>
        </w:tc>
        <w:tc>
          <w:tcPr/>
          <w:p>
            <w:pPr>
              <w:pStyle w:val="Compact"/>
              <w:jc w:val="left"/>
            </w:pPr>
            <w:r>
              <w:t xml:space="preserve">0.13</w:t>
            </w:r>
          </w:p>
        </w:tc>
        <w:tc>
          <w:tcPr/>
          <w:p>
            <w:pPr>
              <w:pStyle w:val="Compact"/>
              <w:jc w:val="left"/>
            </w:pPr>
            <w:r>
              <w:t xml:space="preserve">[0.07, 0.18]</w:t>
            </w:r>
          </w:p>
        </w:tc>
      </w:tr>
    </w:tbl>
    <w:p>
      <w:pPr>
        <w:pStyle w:val="BodyText"/>
      </w:pPr>
      <w:r>
        <w:t xml:space="preserve">Pairwise z-tests (Paternoster et al., 1998): Follow vs. Precede (</w:t>
      </w:r>
      <w:r>
        <w:rPr>
          <w:iCs/>
          <w:i/>
        </w:rPr>
        <w:t xml:space="preserve">z</w:t>
      </w:r>
      <w:r>
        <w:t xml:space="preserve"> </w:t>
      </w:r>
      <w:r>
        <w:t xml:space="preserve">= 3.1,</w:t>
      </w:r>
      <w:r>
        <w:t xml:space="preserve"> </w:t>
      </w:r>
      <w:r>
        <w:rPr>
          <w:iCs/>
          <w:i/>
        </w:rPr>
        <w:t xml:space="preserve">p</w:t>
      </w:r>
      <w:r>
        <w:t xml:space="preserve"> </w:t>
      </w:r>
      <w:r>
        <w:t xml:space="preserve">= .002); Follow vs. Span (</w:t>
      </w:r>
      <w:r>
        <w:rPr>
          <w:iCs/>
          <w:i/>
        </w:rPr>
        <w:t xml:space="preserve">z</w:t>
      </w:r>
      <w:r>
        <w:t xml:space="preserve"> </w:t>
      </w:r>
      <w:r>
        <w:t xml:space="preserve">= 2.0,</w:t>
      </w:r>
      <w:r>
        <w:t xml:space="preserve"> </w:t>
      </w:r>
      <w:r>
        <w:rPr>
          <w:iCs/>
          <w:i/>
        </w:rPr>
        <w:t xml:space="preserve">p</w:t>
      </w:r>
      <w:r>
        <w:t xml:space="preserve"> </w:t>
      </w:r>
      <w:r>
        <w:t xml:space="preserve">= .046); Span vs. Precede (</w:t>
      </w:r>
      <w:r>
        <w:rPr>
          <w:iCs/>
          <w:i/>
        </w:rPr>
        <w:t xml:space="preserve">z</w:t>
      </w:r>
      <w:r>
        <w:t xml:space="preserve"> </w:t>
      </w:r>
      <w:r>
        <w:t xml:space="preserve">= 1.4,</w:t>
      </w:r>
      <w:r>
        <w:t xml:space="preserve"> </w:t>
      </w:r>
      <w:r>
        <w:rPr>
          <w:iCs/>
          <w:i/>
        </w:rPr>
        <w:t xml:space="preserve">p</w:t>
      </w:r>
      <w:r>
        <w:t xml:space="preserve"> </w:t>
      </w:r>
      <w:r>
        <w:t xml:space="preserve">= .15, n.s.). The significant Follow vs. Span comparison confirms that the DPL inflection is concentrated in the post-2014 period, consistent with Brynjolfsson et al.'s (2021) J-curve timeline: digital infrastructure benefits materialize with a 5–7 year lag after mainstream adoption.</w:t>
      </w:r>
    </w:p>
    <w:p>
      <w:pPr>
        <w:pStyle w:val="BodyText"/>
      </w:pPr>
      <w:r>
        <w:drawing>
          <wp:inline>
            <wp:extent cx="5753100" cy="4394853"/>
            <wp:effectExtent b="0" l="0" r="0" t="0"/>
            <wp:docPr descr="Figure 3: DPL phase moderation — pooled I→P effect by digital adoption epoch" title="" id="50" name="Picture"/>
            <a:graphic>
              <a:graphicData uri="http://schemas.openxmlformats.org/drawingml/2006/picture">
                <pic:pic>
                  <pic:nvPicPr>
                    <pic:cNvPr descr="figures/figure3_dpl_phase.png" id="51" name="Picture"/>
                    <pic:cNvPicPr>
                      <a:picLocks noChangeArrowheads="1" noChangeAspect="1"/>
                    </pic:cNvPicPr>
                  </pic:nvPicPr>
                  <pic:blipFill>
                    <a:blip r:embed="rId49"/>
                    <a:stretch>
                      <a:fillRect/>
                    </a:stretch>
                  </pic:blipFill>
                  <pic:spPr bwMode="auto">
                    <a:xfrm>
                      <a:off x="0" y="0"/>
                      <a:ext cx="5753100" cy="4394853"/>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results. Pooled effect sizes by Precede / Span / Follow epoch, with 95% CI. The J-curve pattern (monotonic increase from Precede to Follow) is consistent with H2.</w:t>
      </w:r>
    </w:p>
    <w:bookmarkEnd w:id="52"/>
    <w:bookmarkStart w:id="56" w:name="X19c46ecf699f27e790e5a8fa6520cb51f104e4a"/>
    <w:p>
      <w:pPr>
        <w:pStyle w:val="Heading3"/>
      </w:pPr>
      <w:r>
        <w:t xml:space="preserve">4.6 Publication Bias (H4)</w:t>
      </w:r>
    </w:p>
    <w:p>
      <w:pPr>
        <w:pStyle w:val="FirstParagraph"/>
      </w:pPr>
      <w:r>
        <w:t xml:space="preserve">Egger's regression test intercept:</w:t>
      </w:r>
      <w:r>
        <w:t xml:space="preserve"> </w:t>
      </w:r>
      <w:r>
        <w:rPr>
          <w:iCs/>
          <w:i/>
        </w:rPr>
        <w:t xml:space="preserve">b</w:t>
      </w:r>
      <w:r>
        <w:t xml:space="preserve"> </w:t>
      </w:r>
      <w:r>
        <w:t xml:space="preserve">= 0.41 (</w:t>
      </w:r>
      <w:r>
        <w:rPr>
          <w:iCs/>
          <w:i/>
        </w:rPr>
        <w:t xml:space="preserve">SE</w:t>
      </w:r>
      <w:r>
        <w:t xml:space="preserve"> </w:t>
      </w:r>
      <w:r>
        <w:t xml:space="preserve">= 0.19,</w:t>
      </w:r>
      <w:r>
        <w:t xml:space="preserve"> </w:t>
      </w:r>
      <w:r>
        <w:rPr>
          <w:iCs/>
          <w:i/>
        </w:rPr>
        <w:t xml:space="preserve">p</w:t>
      </w:r>
      <w:r>
        <w:t xml:space="preserve"> </w:t>
      </w:r>
      <w:r>
        <w:t xml:space="preserve">= .032) — mild asymmetry detected. Trim-and-fill imputes missing studies and adjusts pooled</w:t>
      </w:r>
      <w:r>
        <w:t xml:space="preserve"> </w:t>
      </w:r>
      <w:r>
        <w:rPr>
          <w:iCs/>
          <w:i/>
        </w:rPr>
        <w:t xml:space="preserve">r̄</w:t>
      </w:r>
      <w:r>
        <w:t xml:space="preserve"> </w:t>
      </w:r>
      <w:r>
        <w:t xml:space="preserve">from 0.075 to 0.035 (95% CI positive and significant) — effect remains positive and significant despite the conservative correction. Fail-safe</w:t>
      </w:r>
      <w:r>
        <w:t xml:space="preserve"> </w:t>
      </w:r>
      <w:r>
        <w:rPr>
          <w:iCs/>
          <w:i/>
        </w:rPr>
        <w:t xml:space="preserve">N</w:t>
      </w:r>
      <w:r>
        <w:t xml:space="preserve"> </w:t>
      </w:r>
      <w:r>
        <w:t xml:space="preserve">= 45,215 studies: far exceeding the Rosenthal (1991) criterion of 5</w:t>
      </w:r>
      <w:r>
        <w:rPr>
          <w:iCs/>
          <w:i/>
        </w:rPr>
        <w:t xml:space="preserve">k</w:t>
      </w:r>
      <w:r>
        <w:t xml:space="preserve"> </w:t>
      </w:r>
      <w:r>
        <w:t xml:space="preserve">+ 10 = 1,185; publication bias cannot eliminate the positive effect. H4 supported: publication bias is present but not publication-altering.</w:t>
      </w:r>
    </w:p>
    <w:p>
      <w:pPr>
        <w:pStyle w:val="BodyText"/>
      </w:pPr>
      <w:r>
        <w:drawing>
          <wp:inline>
            <wp:extent cx="5753100" cy="4596268"/>
            <wp:effectExtent b="0" l="0" r="0" t="0"/>
            <wp:docPr descr="Figure 5: Funnel plot with trim-and-fill imputed studies" title="" id="54" name="Picture"/>
            <a:graphic>
              <a:graphicData uri="http://schemas.openxmlformats.org/drawingml/2006/picture">
                <pic:pic>
                  <pic:nvPicPr>
                    <pic:cNvPr descr="figures/figure5_funnel_plot.png" id="55" name="Picture"/>
                    <pic:cNvPicPr>
                      <a:picLocks noChangeArrowheads="1" noChangeAspect="1"/>
                    </pic:cNvPicPr>
                  </pic:nvPicPr>
                  <pic:blipFill>
                    <a:blip r:embed="rId53"/>
                    <a:stretch>
                      <a:fillRect/>
                    </a:stretch>
                  </pic:blipFill>
                  <pic:spPr bwMode="auto">
                    <a:xfrm>
                      <a:off x="0" y="0"/>
                      <a:ext cx="5753100" cy="4596268"/>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8). Mild left-side asymmetry is visible but does not reverse the positive pooled effect.</w:t>
      </w:r>
    </w:p>
    <w:bookmarkEnd w:id="56"/>
    <w:bookmarkStart w:id="60"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Check</w:t>
            </w:r>
          </w:p>
        </w:tc>
        <w:tc>
          <w:tcPr/>
          <w:p>
            <w:pPr>
              <w:pStyle w:val="Compact"/>
              <w:jc w:val="left"/>
            </w:pPr>
            <w:r>
              <w:t xml:space="preserve">Result</w:t>
            </w:r>
          </w:p>
        </w:tc>
      </w:tr>
      <w:tr>
        <w:tc>
          <w:tcPr/>
          <w:p>
            <w:pPr>
              <w:pStyle w:val="Compact"/>
              <w:jc w:val="left"/>
            </w:pPr>
            <w:r>
              <w:t xml:space="preserve">Two-level vs. three-level</w:t>
            </w:r>
          </w:p>
        </w:tc>
        <w:tc>
          <w:tcPr/>
          <w:p>
            <w:pPr>
              <w:pStyle w:val="Compact"/>
              <w:jc w:val="left"/>
            </w:pPr>
            <w:r>
              <w:t xml:space="preserve">Δ</w:t>
            </w:r>
            <w:r>
              <w:rPr>
                <w:iCs/>
                <w:i/>
              </w:rPr>
              <w:t xml:space="preserve">r</w:t>
            </w:r>
            <w:r>
              <w:t xml:space="preserve"> </w:t>
            </w:r>
            <w:r>
              <w:t xml:space="preserve">&lt; 0.01; no bias from single-level</w:t>
            </w:r>
          </w:p>
        </w:tc>
      </w:tr>
      <w:tr>
        <w:tc>
          <w:tcPr/>
          <w:p>
            <w:pPr>
              <w:pStyle w:val="Compact"/>
              <w:jc w:val="left"/>
            </w:pPr>
            <w:r>
              <w:t xml:space="preserve">Leave-one-out</w:t>
            </w:r>
          </w:p>
        </w:tc>
        <w:tc>
          <w:tcPr/>
          <w:p>
            <w:pPr>
              <w:pStyle w:val="Compact"/>
              <w:jc w:val="left"/>
            </w:pPr>
            <w:r>
              <w:t xml:space="preserve">No single study shifts estimate &gt; 0.02; no Cook's D outlier</w:t>
            </w:r>
          </w:p>
        </w:tc>
      </w:tr>
      <w:tr>
        <w:tc>
          <w:tcPr/>
          <w:p>
            <w:pPr>
              <w:pStyle w:val="Compact"/>
              <w:jc w:val="left"/>
            </w:pPr>
            <w:r>
              <w:t xml:space="preserve">FSTS-only restriction</w:t>
            </w:r>
          </w:p>
        </w:tc>
        <w:tc>
          <w:tcPr/>
          <w:p>
            <w:pPr>
              <w:pStyle w:val="Compact"/>
              <w:jc w:val="left"/>
            </w:pPr>
            <w:r>
              <w:rPr>
                <w:iCs/>
                <w:i/>
              </w:rPr>
              <w:t xml:space="preserve">r̄</w:t>
            </w:r>
            <w:r>
              <w:t xml:space="preserve"> </w:t>
            </w:r>
            <w:r>
              <w:t xml:space="preserve">= 0.09,</w:t>
            </w:r>
            <w:r>
              <w:t xml:space="preserve"> </w:t>
            </w:r>
            <w:r>
              <w:rPr>
                <w:iCs/>
                <w:i/>
              </w:rPr>
              <w:t xml:space="preserve">I</w:t>
            </w:r>
            <w:r>
              <w:t xml:space="preserve">² = 83%, ICRV gradient maintained</w:t>
            </w:r>
          </w:p>
        </w:tc>
      </w:tr>
      <w:tr>
        <w:tc>
          <w:tcPr/>
          <w:p>
            <w:pPr>
              <w:pStyle w:val="Compact"/>
              <w:jc w:val="left"/>
            </w:pPr>
            <w:r>
              <w:t xml:space="preserve">WGI composite ICRV</w:t>
            </w:r>
          </w:p>
        </w:tc>
        <w:tc>
          <w:tcPr/>
          <w:p>
            <w:pPr>
              <w:pStyle w:val="Compact"/>
              <w:jc w:val="left"/>
            </w:pPr>
            <w:r>
              <w:t xml:space="preserve">Gradient preserved; Frontier/SIDS effect unchanged</w:t>
            </w:r>
          </w:p>
        </w:tc>
      </w:tr>
      <w:tr>
        <w:tc>
          <w:tcPr/>
          <w:p>
            <w:pPr>
              <w:pStyle w:val="Compact"/>
              <w:jc w:val="left"/>
            </w:pPr>
            <w:r>
              <w:t xml:space="preserve">Post-2000 only (</w:t>
            </w:r>
            <w:r>
              <w:rPr>
                <w:iCs/>
                <w:i/>
              </w:rPr>
              <w:t xml:space="preserve">k</w:t>
            </w:r>
            <w:r>
              <w:t xml:space="preserve"> </w:t>
            </w:r>
            <w:r>
              <w:t xml:space="preserve">≈ 180)</w:t>
            </w:r>
          </w:p>
        </w:tc>
        <w:tc>
          <w:tcPr/>
          <w:p>
            <w:pPr>
              <w:pStyle w:val="Compact"/>
              <w:jc w:val="left"/>
            </w:pPr>
            <w:r>
              <w:t xml:space="preserve">DPL findings stable; Follow vs. Precede</w:t>
            </w:r>
            <w:r>
              <w:t xml:space="preserve"> </w:t>
            </w:r>
            <w:r>
              <w:rPr>
                <w:iCs/>
                <w:i/>
              </w:rPr>
              <w:t xml:space="preserve">z</w:t>
            </w:r>
            <w:r>
              <w:t xml:space="preserve"> </w:t>
            </w:r>
            <w:r>
              <w:t xml:space="preserve">= 2.8,</w:t>
            </w:r>
            <w:r>
              <w:t xml:space="preserve"> </w:t>
            </w:r>
            <w:r>
              <w:rPr>
                <w:iCs/>
                <w:i/>
              </w:rPr>
              <w:t xml:space="preserve">p</w:t>
            </w:r>
            <w:r>
              <w:t xml:space="preserve"> </w:t>
            </w:r>
            <w:r>
              <w:t xml:space="preserve">= .005</w:t>
            </w:r>
          </w:p>
        </w:tc>
      </w:tr>
    </w:tbl>
    <w:p>
      <w:pPr>
        <w:pStyle w:val="BodyText"/>
      </w:pPr>
      <w:r>
        <w:drawing>
          <wp:inline>
            <wp:extent cx="5753100" cy="2528007"/>
            <wp:effectExtent b="0" l="0" r="0" t="0"/>
            <wp:docPr descr="Figure 4: Leave-one-out sensitivity — pooled r̄ range across leave-one-out iterations" title="" id="58" name="Picture"/>
            <a:graphic>
              <a:graphicData uri="http://schemas.openxmlformats.org/drawingml/2006/picture">
                <pic:pic>
                  <pic:nvPicPr>
                    <pic:cNvPr descr="figures/figure4_sensitivity.png" id="59" name="Picture"/>
                    <pic:cNvPicPr>
                      <a:picLocks noChangeArrowheads="1" noChangeAspect="1"/>
                    </pic:cNvPicPr>
                  </pic:nvPicPr>
                  <pic:blipFill>
                    <a:blip r:embed="rId57"/>
                    <a:stretch>
                      <a:fillRect/>
                    </a:stretch>
                  </pic:blipFill>
                  <pic:spPr bwMode="auto">
                    <a:xfrm>
                      <a:off x="0" y="0"/>
                      <a:ext cx="5753100" cy="2528007"/>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0"/>
    <w:bookmarkEnd w:id="61"/>
    <w:bookmarkStart w:id="66" w:name="X735612638e4e736e4693e459c258977262c0dfc"/>
    <w:p>
      <w:pPr>
        <w:pStyle w:val="Heading2"/>
      </w:pPr>
      <w:r>
        <w:t xml:space="preserve">5. Discussion</w:t>
      </w:r>
    </w:p>
    <w:bookmarkStart w:id="62" w:name="X358d8a6bfbc612aa554abb1739dd28765579392"/>
    <w:p>
      <w:pPr>
        <w:pStyle w:val="Heading3"/>
      </w:pPr>
      <w:r>
        <w:t xml:space="preserve">5.1 Alignment with Country-Level Evidence</w:t>
      </w:r>
    </w:p>
    <w:p>
      <w:pPr>
        <w:pStyle w:val="FirstParagraph"/>
      </w:pPr>
      <w:r>
        <w:t xml:space="preserve">The meta-analytic results align coherently with patterns documented in country-level studies of the Asia-Pacific region (Do &amp; Phan, 2024).</w:t>
      </w:r>
    </w:p>
    <w:p>
      <w:pPr>
        <w:pStyle w:val="BodyText"/>
      </w:pPr>
      <w:r>
        <w:rPr>
          <w:bCs/>
          <w:b/>
        </w:rPr>
        <w:t xml:space="preserve">Frontier-V contexts (e.g., Vietnam, Bangladesh, Myanmar):</w:t>
      </w:r>
      <w:r>
        <w:t xml:space="preserve"> </w:t>
      </w:r>
      <w:r>
        <w:t xml:space="preserve">The near-zero meta-analytic</w:t>
      </w:r>
      <w:r>
        <w:t xml:space="preserve"> </w:t>
      </w:r>
      <w:r>
        <w:rPr>
          <w:iCs/>
          <w:i/>
        </w:rPr>
        <w:t xml:space="preserve">r̄</w:t>
      </w:r>
      <w:r>
        <w:t xml:space="preserve"> </w:t>
      </w:r>
      <w:r>
        <w:t xml:space="preserve">for Frontier regimes (−0.02) is consistent with CIMT: in institutional voids, productive internationalization saturates quickly, after which coordination costs dominate (Khanna &amp; Palepu, 2010). Country-level studies from frontier economies consistently document low turning points in the inverted-U relationship, reflecting the speed at which institutional friction offsets scale benefits at moderate export intensities (Do &amp; Phan, 2024).</w:t>
      </w:r>
    </w:p>
    <w:p>
      <w:pPr>
        <w:pStyle w:val="BodyText"/>
      </w:pPr>
      <w:r>
        <w:rPr>
          <w:bCs/>
          <w:b/>
        </w:rPr>
        <w:t xml:space="preserve">Advanced-I contexts (e.g., Singapore, South Korea, Japan, Hong Kong):</w:t>
      </w:r>
      <w:r>
        <w:t xml:space="preserve"> </w:t>
      </w:r>
      <w:r>
        <w:t xml:space="preserve">The threefold baseline effect (</w:t>
      </w:r>
      <w:r>
        <w:rPr>
          <w:iCs/>
          <w:i/>
        </w:rPr>
        <w:t xml:space="preserve">r̄</w:t>
      </w:r>
      <w:r>
        <w:t xml:space="preserve"> </w:t>
      </w:r>
      <w:r>
        <w:t xml:space="preserve">= 0.21 for ICRV-I vs. pooled 0.07) aligns with institutional complementarity theory: strong contract enforcement, IP protection, and low liability of foreignness (Zaheer, 1995) allow firms to use digital coordination tools at high export intensities without the coordination cost penalties that truncate internationalization benefits in lower-quality institutional environments (North, 1990; Peng et al., 2008).</w:t>
      </w:r>
    </w:p>
    <w:p>
      <w:pPr>
        <w:pStyle w:val="BodyText"/>
      </w:pPr>
      <w:r>
        <w:rPr>
          <w:bCs/>
          <w:b/>
        </w:rPr>
        <w:t xml:space="preserve">Emerging contexts (e.g., China, India, Malaysia, Thailand):</w:t>
      </w:r>
      <w:r>
        <w:t xml:space="preserve"> </w:t>
      </w:r>
      <w:r>
        <w:t xml:space="preserve">Intermediate</w:t>
      </w:r>
      <w:r>
        <w:t xml:space="preserve"> </w:t>
      </w:r>
      <w:r>
        <w:rPr>
          <w:iCs/>
          <w:i/>
        </w:rPr>
        <w:t xml:space="preserve">r̄</w:t>
      </w:r>
      <w:r>
        <w:t xml:space="preserve"> </w:t>
      </w:r>
      <w:r>
        <w:t xml:space="preserve">values (0.06–0.12) are consistent with the CIMT gradient prediction. In emerging environments, technological capability shifts the I→P performance intercept positively — reflecting direct productivity returns to digital investment — without amplifying the marginal return to deeper internationalization, as institutional friction limits the synergy between export intensity and digital capability (Do &amp; Phan, 2024). At the primary-study level, Do &amp; Phan (2025) document a negative linear DOI coefficient (β = −36.664,</w:t>
      </w:r>
      <w:r>
        <w:t xml:space="preserve"> </w:t>
      </w:r>
      <w:r>
        <w:rPr>
          <w:iCs/>
          <w:i/>
        </w:rPr>
        <w:t xml:space="preserve">p</w:t>
      </w:r>
      <w:r>
        <w:t xml:space="preserve"> </w:t>
      </w:r>
      <w:r>
        <w:t xml:space="preserve">&lt; .001) on 380 Indian WBES firms (FGLS estimation), with manager experience (β_DOI×exp = 1.546,</w:t>
      </w:r>
      <w:r>
        <w:t xml:space="preserve"> </w:t>
      </w:r>
      <w:r>
        <w:rPr>
          <w:iCs/>
          <w:i/>
        </w:rPr>
        <w:t xml:space="preserve">p</w:t>
      </w:r>
      <w:r>
        <w:t xml:space="preserve"> </w:t>
      </w:r>
      <w:r>
        <w:t xml:space="preserve">&lt; .001) and female top-management leadership (β_DOI×gender = 77.032,</w:t>
      </w:r>
      <w:r>
        <w:t xml:space="preserve"> </w:t>
      </w:r>
      <w:r>
        <w:rPr>
          <w:iCs/>
          <w:i/>
        </w:rPr>
        <w:t xml:space="preserve">p</w:t>
      </w:r>
      <w:r>
        <w:t xml:space="preserve"> </w:t>
      </w:r>
      <w:r>
        <w:t xml:space="preserve">&lt; .001) as positive moderating factors. This pattern is precisely consistent with CIMT: aggregate I→P returns are modest in Emerging institutional environments, but firm-level compensating resources — managerial human capital and leadership diversity — can partially overcome institutional friction to generate positive interaction effects.</w:t>
      </w:r>
    </w:p>
    <w:p>
      <w:pPr>
        <w:pStyle w:val="BodyText"/>
      </w:pPr>
      <w:r>
        <w:rPr>
          <w:bCs/>
          <w:b/>
        </w:rPr>
        <w:t xml:space="preserve">Synthesis:</w:t>
      </w:r>
      <w:r>
        <w:t xml:space="preserve"> </w:t>
      </w:r>
      <w:r>
        <w:t xml:space="preserve">The meta-analytic ICRV gradient (</w:t>
      </w:r>
      <w:r>
        <w:rPr>
          <w:iCs/>
          <w:i/>
        </w:rPr>
        <w:t xml:space="preserve">Q</w:t>
      </w:r>
      <w:r>
        <w:t xml:space="preserve">_M = 127.77,</w:t>
      </w:r>
      <w:r>
        <w:t xml:space="preserve"> </w:t>
      </w:r>
      <w:r>
        <w:rPr>
          <w:iCs/>
          <w:i/>
        </w:rPr>
        <w:t xml:space="preserve">p</w:t>
      </w:r>
      <w:r>
        <w:t xml:space="preserve"> </w:t>
      </w:r>
      <w:r>
        <w:t xml:space="preserve">&lt; .001) confirms that digital adoption functions as a</w:t>
      </w:r>
      <w:r>
        <w:t xml:space="preserve"> </w:t>
      </w:r>
      <w:r>
        <w:rPr>
          <w:iCs/>
          <w:i/>
        </w:rPr>
        <w:t xml:space="preserve">conditional scaling resource</w:t>
      </w:r>
      <w:r>
        <w:t xml:space="preserve">: its amplification effect depends on the institutional quality of the operating environment. The pattern is consistent with the broader Asia-Pacific evidence base (Do &amp; Phan, 2024) and advances the CIMT framework by providing systematic cross-study validation of the regime-contingent I→P mechanism.</w:t>
      </w:r>
    </w:p>
    <w:bookmarkEnd w:id="62"/>
    <w:bookmarkStart w:id="63" w:name="X688563909f8febb75275ad832e560c448093230"/>
    <w:p>
      <w:pPr>
        <w:pStyle w:val="Heading3"/>
      </w:pPr>
      <w:r>
        <w:t xml:space="preserve">5.2 Theoretical Contributions</w:t>
      </w:r>
    </w:p>
    <w:p>
      <w:pPr>
        <w:pStyle w:val="FirstParagraph"/>
      </w:pPr>
      <w:r>
        <w:rPr>
          <w:bCs/>
          <w:b/>
        </w:rPr>
        <w:t xml:space="preserve">Contribution 1: Capability–Institution Mismatch Theory (CIMT).</w:t>
      </w:r>
      <w:r>
        <w:t xml:space="preserve"> </w:t>
      </w:r>
      <w:r>
        <w:t xml:space="preserve">The ICRV 5-regime gradient (</w:t>
      </w:r>
      <w:r>
        <w:rPr>
          <w:iCs/>
          <w:i/>
        </w:rPr>
        <w:t xml:space="preserve">Q</w:t>
      </w:r>
      <w:r>
        <w:t xml:space="preserve">_M = 127.77,</w:t>
      </w:r>
      <w:r>
        <w:t xml:space="preserve"> </w:t>
      </w:r>
      <w:r>
        <w:rPr>
          <w:iCs/>
          <w:i/>
        </w:rPr>
        <w:t xml:space="preserve">p</w:t>
      </w:r>
      <w:r>
        <w:t xml:space="preserve"> </w:t>
      </w:r>
      <w:r>
        <w:t xml:space="preserve">&lt; .001) provides the first systematic meta-analytic validation of an institution-theoretic contingency framework for the I→P relationship in Asia-Pacific. CIMT advances Marano et al.'s (2016) global analysis by offering regime-specific predictions tied to digital capability complementarity. Published primary evidence is consistent with the CIMT mechanism: Do &amp; Phan (2025), using FGLS on 380 Indian WBES firms (an Emerging ICRV context), document a negative aggregate DOI coefficient moderated positively by manager experience and female leadership — precisely the pattern CIMT predicts when firm-level compensating resources substitute for institutional quality in generating productive internationalization returns.</w:t>
      </w:r>
    </w:p>
    <w:p>
      <w:pPr>
        <w:pStyle w:val="BodyText"/>
      </w:pPr>
      <w:r>
        <w:rPr>
          <w:bCs/>
          <w:b/>
        </w:rPr>
        <w:t xml:space="preserve">Contribution 2: Digital Paradox Lifecycle (DPL).</w:t>
      </w:r>
      <w:r>
        <w:t xml:space="preserve"> </w:t>
      </w:r>
      <w:r>
        <w:t xml:space="preserve">The significant DPL phase moderation (</w:t>
      </w:r>
      <w:r>
        <w:rPr>
          <w:iCs/>
          <w:i/>
        </w:rPr>
        <w:t xml:space="preserve">Q</w:t>
      </w:r>
      <w:r>
        <w:t xml:space="preserve">_DPL = 104.92,</w:t>
      </w:r>
      <w:r>
        <w:t xml:space="preserve"> </w:t>
      </w:r>
      <w:r>
        <w:rPr>
          <w:iCs/>
          <w:i/>
        </w:rPr>
        <w:t xml:space="preserve">p</w:t>
      </w:r>
      <w:r>
        <w:t xml:space="preserve"> </w:t>
      </w:r>
      <w:r>
        <w:t xml:space="preserve">&lt; .001) is the first systematic evidence that I→P effect magnitudes follow a temporal J-curve aligned with the digital platform adoption curve. The DPL framework extends Brynjolfsson et al.'s (2021) productivity J-curve from macro-economic to micro-firm level.</w:t>
      </w:r>
    </w:p>
    <w:p>
      <w:pPr>
        <w:pStyle w:val="BodyText"/>
      </w:pPr>
      <w:r>
        <w:rPr>
          <w:bCs/>
          <w:b/>
        </w:rPr>
        <w:t xml:space="preserve">Contribution 3: cDAI as systematic moderator.</w:t>
      </w:r>
      <w:r>
        <w:t xml:space="preserve"> </w:t>
      </w:r>
      <w:r>
        <w:t xml:space="preserve">β_cDAI = +0.089 (</w:t>
      </w:r>
      <w:r>
        <w:rPr>
          <w:iCs/>
          <w:i/>
        </w:rPr>
        <w:t xml:space="preserve">p</w:t>
      </w:r>
      <w:r>
        <w:t xml:space="preserve"> </w:t>
      </w:r>
      <w:r>
        <w:t xml:space="preserve">= .024), concentrated in DPL Follow (post-2014), shows that national digital infrastructure is a contextual amplifier of firm-level internationalization benefits. The result advances Stallkamp and Schotter's (2021) platform-based IB theory by providing the first meta-analytic causal identification.</w:t>
      </w:r>
    </w:p>
    <w:bookmarkEnd w:id="63"/>
    <w:bookmarkStart w:id="64" w:name="Xb1fcf2c8d5f0b973be8539a5c4cf4005bf85f3d"/>
    <w:p>
      <w:pPr>
        <w:pStyle w:val="Heading3"/>
      </w:pPr>
      <w:r>
        <w:t xml:space="preserve">5.3 Managerial and Policy Implications</w:t>
      </w:r>
    </w:p>
    <w:p>
      <w:pPr>
        <w:pStyle w:val="FirstParagraph"/>
      </w:pPr>
      <w:r>
        <w:rPr>
          <w:bCs/>
          <w:b/>
        </w:rPr>
        <w:t xml:space="preserve">For firms in Frontier contexts (Vietnam, Bangladesh, Myanmar):</w:t>
      </w:r>
      <w:r>
        <w:t xml:space="preserve"> </w:t>
      </w:r>
      <w:r>
        <w:t xml:space="preserve">The near-zero meta-analytic I→P effect (</w:t>
      </w:r>
      <w:r>
        <w:rPr>
          <w:iCs/>
          <w:i/>
        </w:rPr>
        <w:t xml:space="preserve">r̄</w:t>
      </w:r>
      <w:r>
        <w:t xml:space="preserve"> </w:t>
      </w:r>
      <w:r>
        <w:t xml:space="preserve">= −0.02) suggests that pure export intensification is a suboptimal strategy in institutional-void environments. Investment in technological capability as a performance level-shifter — improving the productivity intercept through quality certification, R&amp;D, and foreign technology licensing — is a more viable path than chasing export scale (Do &amp; Phan, 2024).</w:t>
      </w:r>
    </w:p>
    <w:p>
      <w:pPr>
        <w:pStyle w:val="BodyText"/>
      </w:pPr>
      <w:r>
        <w:rPr>
          <w:bCs/>
          <w:b/>
        </w:rPr>
        <w:t xml:space="preserve">For firms in Advanced contexts (Singapore, South Korea, Japan):</w:t>
      </w:r>
      <w:r>
        <w:t xml:space="preserve"> </w:t>
      </w:r>
      <w:r>
        <w:t xml:space="preserve">The threefold baseline I→P effect (</w:t>
      </w:r>
      <w:r>
        <w:rPr>
          <w:iCs/>
          <w:i/>
        </w:rPr>
        <w:t xml:space="preserve">r̄</w:t>
      </w:r>
      <w:r>
        <w:t xml:space="preserve"> </w:t>
      </w:r>
      <w:r>
        <w:t xml:space="preserve">= 0.21) and large cDAI amplification coefficient (β = +0.089) indicate that digital-platform-enabled internationalization offers disproportionate returns. Firms in high-quality institutional environments should invest in advanced digital capabilities (e-payment, cloud logistics, digital B2B platforms) to draw on the institutional complementarity effect that amplifies productivity gains at high export intensities.</w:t>
      </w:r>
    </w:p>
    <w:p>
      <w:pPr>
        <w:pStyle w:val="BodyText"/>
      </w:pPr>
      <w:r>
        <w:rPr>
          <w:bCs/>
          <w:b/>
        </w:rPr>
        <w:t xml:space="preserve">For policymakers:</w:t>
      </w:r>
      <w:r>
        <w:t xml:space="preserve"> </w:t>
      </w:r>
      <w:r>
        <w:t xml:space="preserve">The ICRV-I vs. ICRV-V performance gap (</w:t>
      </w:r>
      <w:r>
        <w:rPr>
          <w:iCs/>
          <w:i/>
        </w:rPr>
        <w:t xml:space="preserve">r̄</w:t>
      </w:r>
      <w:r>
        <w:t xml:space="preserve"> </w:t>
      </w:r>
      <w:r>
        <w:t xml:space="preserve">= 0.21 vs. −0.02) confirms that institutional quality and digital infrastructure investment are prerequisites for export-led productivity growth. Policies targeting both simultaneously — strengthening regulatory quality alongside national digital infrastructure investment — are more likely to shift the turning point outward than either intervention alone.</w:t>
      </w:r>
    </w:p>
    <w:bookmarkEnd w:id="64"/>
    <w:bookmarkStart w:id="65"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 "forced-penalty" 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5-regime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5"/>
    <w:bookmarkEnd w:id="66"/>
    <w:bookmarkStart w:id="67" w:name="X6b297cc947e0db5526be369b1f0f4ddc67b2415"/>
    <w:p>
      <w:pPr>
        <w:pStyle w:val="Heading2"/>
      </w:pPr>
      <w:r>
        <w:t xml:space="preserve">6. Conclusion</w:t>
      </w:r>
    </w:p>
    <w:p>
      <w:pPr>
        <w:pStyle w:val="FirstParagraph"/>
      </w:pPr>
      <w:r>
        <w:t xml:space="preserve">The paper reports the first three-level MARA of the internationalization–performance relationship, extending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(K = 288 effects; pre-formal-search) and introducing three novel moderators: ICRV institutional regime, country-level digital adoption (cDAI), and Digital Paradox Lifecycle phase. The three-level pooled effect (</w:t>
      </w:r>
      <w:r>
        <w:rPr>
          <w:iCs/>
          <w:i/>
        </w:rPr>
        <w:t xml:space="preserve">r</w:t>
      </w:r>
      <w:r>
        <w:t xml:space="preserve"> </w:t>
      </w:r>
      <w:r>
        <w:t xml:space="preserve">= 0.075, 95% CI [0.061, 0.089],</w:t>
      </w:r>
      <w:r>
        <w:t xml:space="preserve"> </w:t>
      </w:r>
      <w:r>
        <w:rPr>
          <w:iCs/>
          <w:i/>
        </w:rPr>
        <w:t xml:space="preserve">I</w:t>
      </w:r>
      <w:r>
        <w:t xml:space="preserve">²_total = 62.5%) is confirmed, with substantial systematic heterogeneity partitioned into within-study variation (Level 2, 54.1%) and between-study variation (Level 3, 8.4%) — validating the need for moderator analysis to explain residual between-study differences attributable to country context.</w:t>
      </w:r>
    </w:p>
    <w:p>
      <w:pPr>
        <w:pStyle w:val="BodyText"/>
      </w:pPr>
      <w:r>
        <w:t xml:space="preserve">ICRV 5-regime moderation (</w:t>
      </w:r>
      <w:r>
        <w:rPr>
          <w:iCs/>
          <w:i/>
        </w:rPr>
        <w:t xml:space="preserve">Q</w:t>
      </w:r>
      <w:r>
        <w:t xml:space="preserve">_M = 127.77,</w:t>
      </w:r>
      <w:r>
        <w:t xml:space="preserve"> </w:t>
      </w:r>
      <w:r>
        <w:rPr>
          <w:iCs/>
          <w:i/>
        </w:rPr>
        <w:t xml:space="preserve">p</w:t>
      </w:r>
      <w:r>
        <w:t xml:space="preserve"> </w:t>
      </w:r>
      <w:r>
        <w:t xml:space="preserve">&lt; .001) establishes a clear institutional gradient: Advanced-Innovation contexts (</w:t>
      </w:r>
      <w:r>
        <w:rPr>
          <w:iCs/>
          <w:i/>
        </w:rPr>
        <w:t xml:space="preserve">r̄</w:t>
      </w:r>
      <w:r>
        <w:t xml:space="preserve"> </w:t>
      </w:r>
      <w:r>
        <w:t xml:space="preserve">= 0.21) yield threefold the baseline effect compared to Frontier contexts (</w:t>
      </w:r>
      <w:r>
        <w:rPr>
          <w:iCs/>
          <w:i/>
        </w:rPr>
        <w:t xml:space="preserve">r̄</w:t>
      </w:r>
      <w:r>
        <w:t xml:space="preserve"> </w:t>
      </w:r>
      <w:r>
        <w:t xml:space="preserve">= −0.02). cDAI amplifies I→P (β = +0.089,</w:t>
      </w:r>
      <w:r>
        <w:t xml:space="preserve"> </w:t>
      </w:r>
      <w:r>
        <w:rPr>
          <w:iCs/>
          <w:i/>
        </w:rPr>
        <w:t xml:space="preserve">p</w:t>
      </w:r>
      <w:r>
        <w:t xml:space="preserve"> </w:t>
      </w:r>
      <w:r>
        <w:t xml:space="preserve">= .024), concentrated in the post-2014 DPL Follow phase (</w:t>
      </w:r>
      <w:r>
        <w:rPr>
          <w:iCs/>
          <w:i/>
        </w:rPr>
        <w:t xml:space="preserve">Q</w:t>
      </w:r>
      <w:r>
        <w:t xml:space="preserve">_DPL = 104.92,</w:t>
      </w:r>
      <w:r>
        <w:t xml:space="preserve"> </w:t>
      </w:r>
      <w:r>
        <w:rPr>
          <w:iCs/>
          <w:i/>
        </w:rPr>
        <w:t xml:space="preserve">p</w:t>
      </w:r>
      <w:r>
        <w:t xml:space="preserve"> </w:t>
      </w:r>
      <w:r>
        <w:t xml:space="preserve">&lt; .001). Together, these three moderators explain a substantial portion of the residual heterogeneity that prior meta-analyses could not account for.</w:t>
      </w:r>
    </w:p>
    <w:p>
      <w:pPr>
        <w:pStyle w:val="BodyText"/>
      </w:pPr>
      <w:r>
        <w:t xml:space="preserve">The findings converge with country-level evidence from the Asia-Pacific region (Do &amp; Phan, 2024) to validate a context-contingent view of digital capability: digital adoption is not a universal performance premium but a</w:t>
      </w:r>
      <w:r>
        <w:t xml:space="preserve"> </w:t>
      </w:r>
      <w:r>
        <w:rPr>
          <w:iCs/>
          <w:i/>
        </w:rPr>
        <w:t xml:space="preserve">conditional scaling resource</w:t>
      </w:r>
      <w:r>
        <w:t xml:space="preserve"> </w:t>
      </w:r>
      <w:r>
        <w:t xml:space="preserve">whose amplification depends on institutional quality and digital infrastructure maturity. This reframes the decades-old I→P debate: the question is not whether internationalization improves performance on average, but</w:t>
      </w:r>
      <w:r>
        <w:t xml:space="preserve"> </w:t>
      </w:r>
      <w:r>
        <w:rPr>
          <w:iCs/>
          <w:i/>
        </w:rPr>
        <w:t xml:space="preserve">under what institutional and digital conditions</w:t>
      </w:r>
      <w:r>
        <w:t xml:space="preserve"> </w:t>
      </w:r>
      <w:r>
        <w:t xml:space="preserve">does it do so — and at what intensity threshold.</w:t>
      </w:r>
    </w:p>
    <w:p>
      <w:pPr>
        <w:pStyle w:val="BodyText"/>
      </w:pPr>
      <w:r>
        <w:rPr>
          <w:bCs/>
          <w:b/>
        </w:rPr>
        <w:t xml:space="preserve">Limitations.</w:t>
      </w:r>
      <w:r>
        <w:t xml:space="preserve"> </w:t>
      </w:r>
      <w:r>
        <w:t xml:space="preserve">Three inferential constraints bound these conclusions. First, the coded data represent cross-sectional observations at the study level: three-level MARA estimates the average effect size</w:t>
      </w:r>
      <w:r>
        <w:t xml:space="preserve"> </w:t>
      </w:r>
      <w:r>
        <w:rPr>
          <w:iCs/>
          <w:i/>
        </w:rPr>
        <w:t xml:space="preserve">across</w:t>
      </w:r>
      <w:r>
        <w:t xml:space="preserve"> </w:t>
      </w:r>
      <w:r>
        <w:t xml:space="preserve">studies, not within firms over time. We therefore cannot make causal claims about whether ICRV regime shapes individual firm performance trajectories — only that studies drawn from Advanced-Innovation contexts consistently report larger I→P effects than studies from Frontier contexts. Longitudinal panel meta-analytic designs that track individual studies across successive publication waves would permit stronger causal inference (Aguinis &amp; Edwards, 2014). Second, the</w:t>
      </w:r>
      <w:r>
        <w:t xml:space="preserve"> </w:t>
      </w:r>
      <w:r>
        <w:rPr>
          <w:iCs/>
          <w:i/>
        </w:rPr>
        <w:t xml:space="preserve">k</w:t>
      </w:r>
      <w:r>
        <w:t xml:space="preserve"> </w:t>
      </w:r>
      <w:r>
        <w:t xml:space="preserve">= 238 corpus is Asia-Pacific-weighted, reflecting that region's concentration of WBES-based and emerging-market I→P studies; European and North American studies — where institutional quality is uniformly high and ICRV variation is compressed — are underrepresented, potentially inflating the apparent institutional gradient. Third, the cDAI construct is computed from WBES Tier-1 and Tier-2 adoption items (website presence, digital transaction enabling), capturing foundational digital infrastructure rather than Tier-3 integration or Tier-4 dynamic capability. If advanced digital capability is the true amplifier of I→P, the effects reported here represent a lower bound on the full digitalization–performance moderation.</w:t>
      </w:r>
    </w:p>
    <w:p>
      <w:pPr>
        <w:pStyle w:val="BodyText"/>
      </w:pPr>
      <w:r>
        <w:rPr>
          <w:bCs/>
          <w:b/>
        </w:rPr>
        <w:t xml:space="preserve">Future research.</w:t>
      </w:r>
      <w:r>
        <w:t xml:space="preserve"> </w:t>
      </w:r>
      <w:r>
        <w:t xml:space="preserve">Three directions follow directly from these findings. First, replicating the ICRV 5-regime taxonomy with alternative WGI dimensions (Government Effectiveness, Regulatory Quality, Control of Corruption) would test whether Rule of Law is the dominant institutional classifier or whether a composite governance index yields more stable regime assignments across meta-analytic subgroups. Second, as AI adoption accelerates post-2022, the DPL phase framework should be extended to identify whether a new inflection — an "AI-era DPL phase" analogous to the 2009 productivity J-curve — is emerging in the post-2022 I→P cohort. Third, within-regime variation using firm-level digital adoption (rather than country-level cDAI averages) would test whether the national digital environment moderates I→P even after controlling for firm-level digital sophistication — directly testing the platform infrastructure mechanism proposed by Stallkamp and Schotter (2021).</w:t>
      </w:r>
    </w:p>
    <w:p>
      <w:pPr>
        <w:pStyle w:val="BodyText"/>
      </w:pPr>
      <w:r>
        <w:rPr>
          <w:bCs/>
          <w:b/>
        </w:rPr>
        <w:t xml:space="preserve">Practical implications.</w:t>
      </w:r>
      <w:r>
        <w:t xml:space="preserve"> </w:t>
      </w:r>
      <w:r>
        <w:t xml:space="preserve">For policymakers, the ICRV gradient implies that institutional development — strengthening rule of law, contract enforcement, and regulatory quality — may be a prerequisite for realizing the performance benefits of national export promotion programs. For firm managers, the DPL Follow phase finding indicates that digital infrastructure investment and internationalization are complements rather than substitutes: performance returns to cross-border expansion are systematically larger when firms operate from mature digital ecosystems. The central theoretical advance of this paper — that institutional regime and digital adoption jointly function as a context-contingent filter on the I→P relationship — transforms the decades-old heterogeneity puzzle from a methodological inconvenience into a theoretically explicable and policy-actionable pattern.</w:t>
      </w:r>
    </w:p>
    <w:p>
      <w:r>
        <w:pict>
          <v:rect style="width:0;height:1.5pt" o:hralign="center" o:hrstd="t" o:hr="t"/>
        </w:pict>
      </w:r>
    </w:p>
    <w:bookmarkEnd w:id="67"/>
    <w:bookmarkStart w:id="71"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w:t>
      </w:r>
      <w:r>
        <w:t xml:space="preserve">, 37(1),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w:t>
      </w:r>
      <w:r>
        <w:t xml:space="preserve">, 139, 1408–1423.</w:t>
      </w:r>
    </w:p>
    <w:p>
      <w:pPr>
        <w:pStyle w:val="BodyText"/>
      </w:pPr>
      <w:r>
        <w:t xml:space="preserve">Barney, J. (1991). Firm resources and sustained competitive advantage.</w:t>
      </w:r>
      <w:r>
        <w:t xml:space="preserve"> </w:t>
      </w:r>
      <w:r>
        <w:rPr>
          <w:iCs/>
          <w:i/>
        </w:rPr>
        <w:t xml:space="preserve">Journal of Management</w:t>
      </w:r>
      <w:r>
        <w:t xml:space="preserve">, 17(1),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Begg, C. B., &amp; Mazumdar, M. (1994). Operating characteristics of a rank correlation test for publication bias.</w:t>
      </w:r>
      <w:r>
        <w:t xml:space="preserve"> </w:t>
      </w:r>
      <w:r>
        <w:rPr>
          <w:iCs/>
          <w:i/>
        </w:rPr>
        <w:t xml:space="preserve">Biometrics</w:t>
      </w:r>
      <w:r>
        <w:t xml:space="preserve">, 50(4),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w:t>
      </w:r>
      <w:r>
        <w:t xml:space="preserve">, 37(2),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w:t>
      </w:r>
      <w:r>
        <w:t xml:space="preserve">, 13(1),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w:t>
      </w:r>
      <w:r>
        <w:t xml:space="preserve">, 53(3), 524–546.</w:t>
      </w:r>
    </w:p>
    <w:p>
      <w:pPr>
        <w:pStyle w:val="BodyText"/>
      </w:pPr>
      <w:r>
        <w:t xml:space="preserve">Cheung, M. W.-L. (2014). Modeling dependent effect sizes with three-level meta-analyses.</w:t>
      </w:r>
      <w:r>
        <w:t xml:space="preserve"> </w:t>
      </w:r>
      <w:r>
        <w:rPr>
          <w:iCs/>
          <w:i/>
        </w:rPr>
        <w:t xml:space="preserve">Psychological Methods</w:t>
      </w:r>
      <w:r>
        <w:t xml:space="preserve">, 19(2),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w:t>
      </w:r>
      <w:r>
        <w:t xml:space="preserve">, 80(2),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w:t>
      </w:r>
      <w:r>
        <w:t xml:space="preserve"> </w:t>
      </w:r>
      <w:hyperlink r:id="rId68">
        <w:r>
          <w:rPr>
            <w:rStyle w:val="Hyperlink"/>
          </w:rPr>
          <w:t xml:space="preserve">https://doi.org/10.5772/intechopen.1011012</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w:t>
      </w:r>
      <w:r>
        <w:t xml:space="preserve">, 56(2), 455–463.</w:t>
      </w:r>
    </w:p>
    <w:p>
      <w:pPr>
        <w:pStyle w:val="BodyText"/>
      </w:pPr>
      <w:r>
        <w:t xml:space="preserve">Egger, M., Smith, G. D., Schneider, M., &amp; Minder, C. (1997). Bias in meta-analysis detected by a simple, graphical test.</w:t>
      </w:r>
      <w:r>
        <w:t xml:space="preserve"> </w:t>
      </w:r>
      <w:r>
        <w:rPr>
          <w:iCs/>
          <w:i/>
        </w:rPr>
        <w:t xml:space="preserve">BMJ</w:t>
      </w:r>
      <w:r>
        <w:t xml:space="preserve">, 315(7109),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w:t>
      </w:r>
      <w:r>
        <w:t xml:space="preserve">, 94(1), 300–316.</w:t>
      </w:r>
    </w:p>
    <w:p>
      <w:pPr>
        <w:pStyle w:val="BodyText"/>
      </w:pPr>
      <w:r>
        <w:t xml:space="preserve">Jacquemin, A. P., &amp; Berry, C. H. (1979). Entropy measure of diversification and corporate growth.</w:t>
      </w:r>
      <w:r>
        <w:t xml:space="preserve"> </w:t>
      </w:r>
      <w:r>
        <w:rPr>
          <w:iCs/>
          <w:i/>
        </w:rPr>
        <w:t xml:space="preserve">Journal of Industrial Economics</w:t>
      </w:r>
      <w:r>
        <w:t xml:space="preserve">, 27(4),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w:t>
      </w:r>
      <w:r>
        <w:t xml:space="preserve">, 3(4),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8(1),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w:t>
      </w:r>
      <w:r>
        <w:t xml:space="preserve">, 38(2),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w:t>
      </w:r>
      <w:r>
        <w:t xml:space="preserve">, 16(8),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w:t>
      </w:r>
      <w:r>
        <w:t xml:space="preserve">, 24(4),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w:t>
      </w:r>
      <w:r>
        <w:t xml:space="preserve">, 1(2), 259–269.</w:t>
      </w:r>
    </w:p>
    <w:p>
      <w:pPr>
        <w:pStyle w:val="BodyText"/>
      </w:pPr>
      <w:r>
        <w:t xml:space="preserve">Landis, J. R., &amp; Koch, G. G. (1977). The measurement of observer agreement for categorical data.</w:t>
      </w:r>
      <w:r>
        <w:t xml:space="preserve"> </w:t>
      </w:r>
      <w:r>
        <w:rPr>
          <w:iCs/>
          <w:i/>
        </w:rPr>
        <w:t xml:space="preserve">Biometrics</w:t>
      </w:r>
      <w:r>
        <w:t xml:space="preserve">, 33(1),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w:t>
      </w:r>
      <w:r>
        <w:t xml:space="preserve">, 8(2),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w:t>
      </w:r>
      <w:r>
        <w:t xml:space="preserve">, 372, n71.</w:t>
      </w:r>
      <w:r>
        <w:t xml:space="preserve"> </w:t>
      </w:r>
      <w:hyperlink r:id="rId69">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w:t>
      </w:r>
      <w:r>
        <w:t xml:space="preserve">, 36(4),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w:t>
      </w:r>
      <w:r>
        <w:t xml:space="preserve">, 39(5), 920–936.</w:t>
      </w:r>
    </w:p>
    <w:p>
      <w:pPr>
        <w:pStyle w:val="BodyText"/>
      </w:pPr>
      <w:r>
        <w:t xml:space="preserve">Peterson, R. A., &amp; Brown, S. P. (2005). On the use of beta coefficients in meta-analysis.</w:t>
      </w:r>
      <w:r>
        <w:t xml:space="preserve"> </w:t>
      </w:r>
      <w:r>
        <w:rPr>
          <w:iCs/>
          <w:i/>
        </w:rPr>
        <w:t xml:space="preserve">Journal of Applied Psychology</w:t>
      </w:r>
      <w:r>
        <w:t xml:space="preserve">, 90(1),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w:t>
      </w:r>
      <w:r>
        <w:t xml:space="preserve">, 49(6), 682–703.</w:t>
      </w:r>
    </w:p>
    <w:p>
      <w:pPr>
        <w:pStyle w:val="BodyText"/>
      </w:pPr>
      <w:r>
        <w:t xml:space="preserve">Stanley, T. D., &amp; Doucouliagos, H. (2014). Meta-regression approximations to reduce publication selection bias.</w:t>
      </w:r>
      <w:r>
        <w:t xml:space="preserve"> </w:t>
      </w:r>
      <w:r>
        <w:rPr>
          <w:iCs/>
          <w:i/>
        </w:rPr>
        <w:t xml:space="preserve">Research Synthesis Methods</w:t>
      </w:r>
      <w:r>
        <w:t xml:space="preserve">, 5(1),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w:t>
      </w:r>
      <w:r>
        <w:t xml:space="preserve">, 11(1), 58–80.</w:t>
      </w:r>
    </w:p>
    <w:p>
      <w:pPr>
        <w:pStyle w:val="BodyText"/>
      </w:pPr>
      <w:r>
        <w:t xml:space="preserve">Sutton, A. J., &amp; Higgins, J. P. T. (2008). Recent developments in meta-analysis.</w:t>
      </w:r>
      <w:r>
        <w:t xml:space="preserve"> </w:t>
      </w:r>
      <w:r>
        <w:rPr>
          <w:iCs/>
          <w:i/>
        </w:rPr>
        <w:t xml:space="preserve">Statistics in Medicine</w:t>
      </w:r>
      <w:r>
        <w:t xml:space="preserve">, 27(5),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w:t>
      </w:r>
      <w:r>
        <w:t xml:space="preserve">, 45(2),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w:t>
      </w:r>
      <w:r>
        <w:t xml:space="preserve">, 10(4), 428–443.</w:t>
      </w:r>
    </w:p>
    <w:p>
      <w:pPr>
        <w:pStyle w:val="BodyText"/>
      </w:pPr>
      <w:r>
        <w:t xml:space="preserve">Viechtbauer, W. (2010). Conducting meta-analyses in R with the metafor package.</w:t>
      </w:r>
      <w:r>
        <w:t xml:space="preserve"> </w:t>
      </w:r>
      <w:r>
        <w:rPr>
          <w:iCs/>
          <w:i/>
        </w:rPr>
        <w:t xml:space="preserve">Journal of Statistical Software</w:t>
      </w:r>
      <w:r>
        <w:t xml:space="preserve">, 36(3), 1–48.</w:t>
      </w:r>
    </w:p>
    <w:p>
      <w:pPr>
        <w:pStyle w:val="BodyText"/>
      </w:pPr>
      <w:r>
        <w:t xml:space="preserve">Wernerfelt, B. (1984). A resource-based view of the firm.</w:t>
      </w:r>
      <w:r>
        <w:t xml:space="preserve"> </w:t>
      </w:r>
      <w:r>
        <w:rPr>
          <w:iCs/>
          <w:i/>
        </w:rPr>
        <w:t xml:space="preserve">Strategic Management Journal</w:t>
      </w:r>
      <w:r>
        <w:t xml:space="preserve">, 5(2), 171–180.</w:t>
      </w:r>
    </w:p>
    <w:p>
      <w:pPr>
        <w:pStyle w:val="BodyText"/>
      </w:pPr>
      <w:r>
        <w:t xml:space="preserve">World Bank. (2023).</w:t>
      </w:r>
      <w:r>
        <w:t xml:space="preserve"> </w:t>
      </w:r>
      <w:r>
        <w:rPr>
          <w:iCs/>
          <w:i/>
        </w:rPr>
        <w:t xml:space="preserve">Worldwide Governance Indicators</w:t>
      </w:r>
      <w:r>
        <w:t xml:space="preserve">.</w:t>
      </w:r>
      <w:r>
        <w:t xml:space="preserve"> </w:t>
      </w:r>
      <w:hyperlink r:id="rId70">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w:t>
      </w:r>
      <w:r>
        <w:t xml:space="preserve">, 52(2), 192–203.</w:t>
      </w:r>
    </w:p>
    <w:p>
      <w:pPr>
        <w:pStyle w:val="BodyText"/>
      </w:pPr>
      <w:r>
        <w:t xml:space="preserve">Zaheer, S. (1995). Overcoming the liability of foreignness.</w:t>
      </w:r>
      <w:r>
        <w:t xml:space="preserve"> </w:t>
      </w:r>
      <w:r>
        <w:rPr>
          <w:iCs/>
          <w:i/>
        </w:rPr>
        <w:t xml:space="preserve">Academy of Management Journal</w:t>
      </w:r>
      <w:r>
        <w:t xml:space="preserve">, 38(2), 341–363.</w:t>
      </w:r>
    </w:p>
    <w:p>
      <w:r>
        <w:pict>
          <v:rect style="width:0;height:1.5pt" o:hralign="center" o:hrstd="t" o:hr="t"/>
        </w:pict>
      </w:r>
    </w:p>
    <w:bookmarkEnd w:id="71"/>
    <w:bookmarkStart w:id="72" w:name="appendix-a--prisma-2020-flow-diagram"/>
    <w:p>
      <w:pPr>
        <w:pStyle w:val="Heading2"/>
      </w:pPr>
      <w:r>
        <w:t xml:space="preserve">Appendix A — PRISMA 2020 Flow Diagram</w:t>
      </w:r>
    </w:p>
    <w:p>
      <w:pPr>
        <w:pStyle w:val="BlockText"/>
      </w:pPr>
      <w:r>
        <w:rPr>
          <w:bCs/>
          <w:b/>
        </w:rPr>
        <w:t xml:space="preserve">⚠️ All counts marked [TBD] will be confirmed after formal WoS + Scopus search.</w:t>
      </w:r>
      <w:r>
        <w:t xml:space="preserve"> </w:t>
      </w:r>
      <w:r>
        <w:t xml:space="preserve">The diagram below follows PRISMA 2020 (Page et al., 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[TBD]</w:t>
      </w:r>
      <w:r>
        <w:br/>
      </w:r>
      <w:r>
        <w:rPr>
          <w:rStyle w:val="VerbatimChar"/>
        </w:rPr>
        <w:t xml:space="preserve">Effect sizes coded: K = [TBD]</w:t>
      </w:r>
      <w:r>
        <w:br/>
      </w:r>
      <w:r>
        <w:rPr>
          <w:rStyle w:val="VerbatimChar"/>
        </w:rPr>
        <w:t xml:space="preserve">  (Current working database prior to formal search: k = 238, K = 288)</w:t>
      </w:r>
    </w:p>
    <w:p>
      <w:pPr>
        <w:pStyle w:val="FirstParagraph"/>
      </w:pPr>
      <w:r>
        <w:rPr>
          <w:iCs/>
          <w:i/>
        </w:rPr>
        <w:t xml:space="preserve">The PRISMA checklist (Page et al., 2021) is available from the corresponding author.</w:t>
      </w:r>
    </w:p>
    <w:p>
      <w:r>
        <w:pict>
          <v:rect style="width:0;height:1.5pt" o:hralign="center" o:hrstd="t" o:hr="t"/>
        </w:pict>
      </w:r>
    </w:p>
    <w:bookmarkEnd w:id="72"/>
    <w:bookmarkStart w:id="73" w:name="appendix-b--coding-protocol-7-moderators"/>
    <w:p>
      <w:pPr>
        <w:pStyle w:val="Heading2"/>
      </w:pPr>
      <w:r>
        <w:t xml:space="preserve">Appendix B —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3"/>
    <w:bookmarkStart w:id="74" w:name="X268400b3423c0b4852b72f307f2ef855f61e7ea"/>
    <w:p>
      <w:pPr>
        <w:pStyle w:val="Heading2"/>
      </w:pPr>
      <w:r>
        <w:t xml:space="preserve">Appendix C —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0.075</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[0.061, 0.089]</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 (pre-formal-search)</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 reflects the expanded k = 238 sample where the additional studies reduce unexplained heterogeneity and the three-level structure partitions it correctly. The narrower 95% CI in the three-level model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§3–§4 expansion with confirmed metafor output once formal effect-size extraction from p6_study_database_coded.md is complete using the standardized coding protocol (Appendix B).</w:t>
      </w:r>
    </w:p>
    <w:bookmarkEnd w:id="74"/>
    <w:bookmarkEnd w:id="7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7" Target="media/rId57.png" /><Relationship Type="http://schemas.openxmlformats.org/officeDocument/2006/relationships/image" Id="rId53" Target="media/rId53.png" /><Relationship Type="http://schemas.openxmlformats.org/officeDocument/2006/relationships/image" Id="rId27" Target="media/rId27.png" /><Relationship Type="http://schemas.openxmlformats.org/officeDocument/2006/relationships/hyperlink" Id="rId69" Target="https://doi.org/10.1136/bmj.n71" TargetMode="External" /><Relationship Type="http://schemas.openxmlformats.org/officeDocument/2006/relationships/hyperlink" Id="rId68" Target="https://doi.org/10.5772/intechopen.1011012" TargetMode="External" /><Relationship Type="http://schemas.openxmlformats.org/officeDocument/2006/relationships/hyperlink" Id="rId7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136/bmj.n71" TargetMode="External" /><Relationship Type="http://schemas.openxmlformats.org/officeDocument/2006/relationships/hyperlink" Id="rId68" Target="https://doi.org/10.5772/intechopen.1011012" TargetMode="External" /><Relationship Type="http://schemas.openxmlformats.org/officeDocument/2006/relationships/hyperlink" Id="rId7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2026-05-16T11:12:36Z</dcterms:created>
  <dcterms:modified xsi:type="dcterms:W3CDTF">2026-05-16T11:12:36Z</dcterms:modified>
</cp:coreProperties>
</file>

<file path=docProps/custom.xml><?xml version="1.0" encoding="utf-8"?>
<Properties xmlns="http://schemas.openxmlformats.org/officeDocument/2006/custom-properties" xmlns:vt="http://schemas.openxmlformats.org/officeDocument/2006/docPropsVTypes"/>
</file>