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Does Country Context Shape the Internationalization–Performance Link? A Three-Level Meta-Analytic Investigation of Digital Adoption, Institutional Regimes, and the Digital Paradox Lifecycle</w:t>
      </w:r>
    </w:p>
    <w:p>
      <w:pPr>
        <w:pStyle w:val="BodyText"/>
      </w:pPr>
      <w:r>
        <w:rPr>
          <w:iCs/>
          <w:i/>
        </w:rPr>
        <w:t xml:space="preserve">Target journal:</w:t>
      </w:r>
      <w:r>
        <w:t xml:space="preserve"> </w:t>
      </w:r>
      <w:r>
        <w:t xml:space="preserve">International Business Review (IBR), Elsevier</w:t>
      </w:r>
    </w:p>
    <w:p>
      <w:pPr>
        <w:pStyle w:val="BodyText"/>
      </w:pPr>
      <w:r>
        <w:rPr>
          <w:iCs/>
          <w:i/>
        </w:rPr>
        <w:t xml:space="preserve">Submission date:</w:t>
      </w:r>
      <w:r>
        <w:t xml:space="preserve"> </w:t>
      </w:r>
      <w:r>
        <w:t xml:space="preserve">14 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huongp1323001@gstudent.ctu.edu.vn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research community whose published primary studies made this meta-analysis possible. We are grateful to the Web of Science and Scopus databases for access to the indexed literature. The ICBEF 2025 conference provided the venue for the baseline analysis (Đỗ &amp; Phan, 2024) upon which the present study builds. The findings, interpretations, and conclusions expressed in this article are those of the authors alone.</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3" w:name="data-availability-statement"/>
    <w:p>
      <w:pPr>
        <w:pStyle w:val="Heading2"/>
      </w:pPr>
      <w:r>
        <w:t xml:space="preserve">Data Availability Statement</w:t>
      </w:r>
    </w:p>
    <w:p>
      <w:pPr>
        <w:pStyle w:val="FirstParagraph"/>
      </w:pPr>
      <w:r>
        <w:t xml:space="preserve">The coded study database, R replication scripts (metafor), PRISMA flow diagram, and inter-coder reliability materials are available from the corresponding author upon reasonable request. Pre-registration materials are deposited on OSF (registration link to be inserted upon acceptance).</w:t>
      </w:r>
    </w:p>
    <w:p>
      <w:r>
        <w:pict>
          <v:rect style="width:0;height:1.5pt" o:hralign="center" o:hrstd="t" o:hr="t"/>
        </w:pict>
      </w:r>
    </w:p>
    <w:bookmarkEnd w:id="33"/>
    <w:bookmarkStart w:id="34"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p>
      <w:r>
        <w:pict>
          <v:rect style="width:0;height:1.5pt" o:hralign="center" o:hrstd="t" o:hr="t"/>
        </w:pict>
      </w:r>
    </w:p>
    <w:bookmarkEnd w:id="34"/>
    <w:bookmarkStart w:id="35"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 (systematic meta-analysis)</w:t>
            </w:r>
          </w:p>
        </w:tc>
      </w:tr>
      <w:tr>
        <w:tc>
          <w:tcPr/>
          <w:p>
            <w:pPr>
              <w:pStyle w:val="Compact"/>
              <w:jc w:val="left"/>
            </w:pPr>
            <w:r>
              <w:t xml:space="preserve">Word count (main text)</w:t>
            </w:r>
          </w:p>
        </w:tc>
        <w:tc>
          <w:tcPr/>
          <w:p>
            <w:pPr>
              <w:pStyle w:val="Compact"/>
              <w:jc w:val="left"/>
            </w:pPr>
            <w:r>
              <w:t xml:space="preserve">Approximately 8,000 words</w:t>
            </w:r>
          </w:p>
        </w:tc>
      </w:tr>
      <w:tr>
        <w:tc>
          <w:tcPr/>
          <w:p>
            <w:pPr>
              <w:pStyle w:val="Compact"/>
              <w:jc w:val="left"/>
            </w:pPr>
            <w:r>
              <w:t xml:space="preserve">Studies (</w:t>
            </w:r>
            <w:r>
              <w:rPr>
                <w:iCs/>
                <w:i/>
              </w:rPr>
              <w:t xml:space="preserve">k</w:t>
            </w:r>
            <w:r>
              <w:t xml:space="preserve">)</w:t>
            </w:r>
          </w:p>
        </w:tc>
        <w:tc>
          <w:tcPr/>
          <w:p>
            <w:pPr>
              <w:pStyle w:val="Compact"/>
              <w:jc w:val="left"/>
            </w:pPr>
            <w:r>
              <w:t xml:space="preserve">235 primary studies</w:t>
            </w:r>
          </w:p>
        </w:tc>
      </w:tr>
      <w:tr>
        <w:tc>
          <w:tcPr/>
          <w:p>
            <w:pPr>
              <w:pStyle w:val="Compact"/>
              <w:jc w:val="left"/>
            </w:pPr>
            <w:r>
              <w:t xml:space="preserve">Effect sizes</w:t>
            </w:r>
          </w:p>
        </w:tc>
        <w:tc>
          <w:tcPr/>
          <w:p>
            <w:pPr>
              <w:pStyle w:val="Compact"/>
              <w:jc w:val="left"/>
            </w:pPr>
            <w:r>
              <w:t xml:space="preserve">Approximately 385</w:t>
            </w:r>
          </w:p>
        </w:tc>
      </w:tr>
      <w:tr>
        <w:tc>
          <w:tcPr/>
          <w:p>
            <w:pPr>
              <w:pStyle w:val="Compact"/>
              <w:jc w:val="left"/>
            </w:pPr>
            <w:r>
              <w:t xml:space="preserve">Tables</w:t>
            </w:r>
          </w:p>
        </w:tc>
        <w:tc>
          <w:tcPr/>
          <w:p>
            <w:pPr>
              <w:pStyle w:val="Compact"/>
              <w:jc w:val="left"/>
            </w:pPr>
            <w:r>
              <w:t xml:space="preserve">4 (inline)</w:t>
            </w:r>
          </w:p>
        </w:tc>
      </w:tr>
      <w:tr>
        <w:tc>
          <w:tcPr/>
          <w:p>
            <w:pPr>
              <w:pStyle w:val="Compact"/>
              <w:jc w:val="left"/>
            </w:pPr>
            <w:r>
              <w:t xml:space="preserve">Figures</w:t>
            </w:r>
          </w:p>
        </w:tc>
        <w:tc>
          <w:tcPr/>
          <w:p>
            <w:pPr>
              <w:pStyle w:val="Compact"/>
              <w:jc w:val="left"/>
            </w:pPr>
            <w:r>
              <w:t xml:space="preserve">3 (forest plot, funnel plot, moderator bubble plot)</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ICRV; Digital Paradox Lifecycle; Asia-Pacific</w:t>
            </w:r>
          </w:p>
        </w:tc>
      </w:tr>
      <w:tr>
        <w:tc>
          <w:tcPr/>
          <w:p>
            <w:pPr>
              <w:pStyle w:val="Compact"/>
              <w:jc w:val="left"/>
            </w:pPr>
            <w:r>
              <w:t xml:space="preserve">JEL codes</w:t>
            </w:r>
          </w:p>
        </w:tc>
        <w:tc>
          <w:tcPr/>
          <w:p>
            <w:pPr>
              <w:pStyle w:val="Compact"/>
              <w:jc w:val="left"/>
            </w:pPr>
            <w:r>
              <w:t xml:space="preserve">F23, O33, C83, O53</w:t>
            </w:r>
          </w:p>
        </w:tc>
      </w:tr>
      <w:tr>
        <w:tc>
          <w:tcPr/>
          <w:p>
            <w:pPr>
              <w:pStyle w:val="Compact"/>
              <w:jc w:val="left"/>
            </w:pPr>
            <w:r>
              <w:t xml:space="preserve">Software</w:t>
            </w:r>
          </w:p>
        </w:tc>
        <w:tc>
          <w:tcPr/>
          <w:p>
            <w:pPr>
              <w:pStyle w:val="Compact"/>
              <w:jc w:val="left"/>
            </w:pPr>
            <w:r>
              <w:t xml:space="preserve">R 4.4 (metafor); JASP 0.19; Stata 17 (robustness)</w:t>
            </w:r>
          </w:p>
        </w:tc>
      </w:tr>
      <w:tr>
        <w:tc>
          <w:tcPr/>
          <w:p>
            <w:pPr>
              <w:pStyle w:val="Compact"/>
              <w:jc w:val="left"/>
            </w:pPr>
            <w:r>
              <w:t xml:space="preserve">Pre-registration</w:t>
            </w:r>
          </w:p>
        </w:tc>
        <w:tc>
          <w:tcPr/>
          <w:p>
            <w:pPr>
              <w:pStyle w:val="Compact"/>
              <w:jc w:val="left"/>
            </w:pPr>
            <w:r>
              <w:t xml:space="preserve">OSF (pre-registration number to be inserted upon acceptance)</w:t>
            </w:r>
          </w:p>
        </w:tc>
      </w:tr>
    </w:tbl>
    <w:bookmarkEnd w:id="35"/>
    <w:bookmarkEnd w:id="3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2026-05-15T07:02:26Z</dcterms:created>
  <dcterms:modified xsi:type="dcterms:W3CDTF">2026-05-15T07:02:26Z</dcterms:modified>
</cp:coreProperties>
</file>

<file path=docProps/custom.xml><?xml version="1.0" encoding="utf-8"?>
<Properties xmlns="http://schemas.openxmlformats.org/officeDocument/2006/custom-properties" xmlns:vt="http://schemas.openxmlformats.org/officeDocument/2006/docPropsVTypes"/>
</file>