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51.png" ContentType="image/png"/>
  <Override PartName="/word/media/rId148.png" ContentType="image/png"/>
  <Override PartName="/word/media/rId168.png" ContentType="image/png"/>
  <Override PartName="/word/media/rId155.png" ContentType="image/png"/>
  <Override PartName="/word/media/rId159.png" ContentType="image/png"/>
  <Override PartName="/word/media/rId231.png" ContentType="image/png"/>
  <Override PartName="/word/media/rId171.png" ContentType="image/png"/>
  <Override PartName="/word/media/rId219.png" ContentType="image/png"/>
  <Override PartName="/word/media/rId1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pPr>
      <w:r>
        <w:t> </w:t>
      </w:r>
    </w:p>
    <w:p>
      <w:pPr>
        <w:jc w:val="center"/>
        <w:spacing w:after="120"/>
      </w:pPr>
      <w:r>
        <w:rPr>
          <w:b/>
          <w:sz w:val="28"/>
        </w:rPr>
        <w:t xml:space="preserve">ĐỖ THÙY HƯƠNG</w:t>
      </w:r>
    </w:p>
    <w:p>
      <w:pPr>
        <w:jc w:val="center"/>
      </w:pPr>
      <w:r>
        <w:t> </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pPr>
      <w:r>
        <w:t> </w:t>
      </w:r>
    </w:p>
    <w:p>
      <w:pPr>
        <w:jc w:val="center"/>
        <w:spacing w:after="120"/>
      </w:pPr>
      <w:r>
        <w:rPr>
          <w:b/>
          <w:sz w:val="28"/>
        </w:rPr>
        <w:t xml:space="preserve">CẦN THƠ, NĂM 2026</w:t>
      </w:r>
    </w:p>
    <w:p>
      <w:r>
        <w:br w:type="page"/>
      </w:r>
    </w:p>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kinh doanh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hoạt động kinh doanh của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Tổng hợp hệ giả thuyết: phát biểu, dấu kỳ vọng, cơ sở lý thuyết và biến kiểm định (Chương 2, Mục 2.5.8)</w:t>
      </w:r>
      <w:r>
        <w:t xml:space="preserve"> </w:t>
      </w:r>
      <w:r>
        <w:t xml:space="preserve">- Bảng 2.2. Ánh xạ nghiên cứu thành phần, mục trình bày, giả thuyết (Chương 2, Mục 2.5.9)</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Phổ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bCs/>
          <w:b/>
        </w:rPr>
        <w:t xml:space="preserve">C. Sản phẩm phần mềm (đăng ký quyền tác giả)</w:t>
      </w:r>
    </w:p>
    <w:p>
      <w:pPr>
        <w:numPr>
          <w:ilvl w:val="0"/>
          <w:numId w:val="1004"/>
        </w:numPr>
        <w:pStyle w:val="Compact"/>
      </w:pPr>
      <w:r>
        <w:t xml:space="preserve">Đỗ Thùy Hương (2026).</w:t>
      </w:r>
      <w:r>
        <w:t xml:space="preserve"> </w:t>
      </w:r>
      <w:r>
        <w:rPr>
          <w:iCs/>
          <w:i/>
        </w:rPr>
        <w:t xml:space="preserve">M-AIDA — Meta-Analysis Intelligent Data Assistant (phiên bản 7.0)</w:t>
      </w:r>
      <w:r>
        <w:t xml:space="preserve"> </w:t>
      </w:r>
      <w:r>
        <w:t xml:space="preserve">[Phần mềm máy tính]. Trường Đại học Cần Thơ.</w:t>
      </w:r>
      <w:r>
        <w:t xml:space="preserve"> </w:t>
      </w:r>
      <w:r>
        <w:rPr>
          <w:iCs/>
          <w:i/>
        </w:rPr>
        <w:t xml:space="preserve">(Công cụ trích xuất dữ liệu cỡ ảnh hưởng hỗ trợ bằng mô hình ngôn ngữ lớn, với kiểm chứng toàn bộ của nghiên cứu sinh và cơ chế khóa dữ liệu bất biến; xây dựng phục vụ trực tiếp Nghiên cứu thành phần P6. Đã nộp hồ sơ đăng ký quyền tác giả; mô tả chi tiết ở Phụ lục B.)</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kinh doanh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hoạt động kinh doanh của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 thách thức việc làm và cơ cấu dân số.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hoạt động kinh doanh của doanh nghiệp trở thành một vấn đề phát triển cấp bách chứ không chỉ là tranh luận học thuật.</w:t>
      </w:r>
    </w:p>
    <w:p>
      <w:pPr>
        <w:pStyle w:val="BodyText"/>
      </w:pPr>
      <w:r>
        <w:t xml:space="preserve">Thứ hai là vai trò trung tâm của chất lượng thể chế trong phân hóa kết quả tăng trưởng.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 kỷ nguyên trí tuệ nhân tạo và biến động giá hàng hóa,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hoạt động kinh doanh của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hoạt động kinh doanh của doanh nghiệp gắn trực tiếp với năng lực hấp thụ lực lượng lao động trẻ đang gia tăng nhanh trong khu vực.</w:t>
      </w:r>
    </w:p>
    <w:p>
      <w:pPr>
        <w:pStyle w:val="BodyText"/>
      </w:pPr>
      <w:r>
        <w:t xml:space="preserve">Phổ thể chế (institutional spectrum)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kinh doanh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quốc tế hóa và hiệu quả. Đúng các địa điểm cực trị về thể chế, nơi điều kiện biên dễ bộc lộ nhất, lại là nơi tài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kinh doanh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chỉ số năng lực công nghệ,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kinh doanh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kinh doanh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chỉ số năng lực công nghệ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kinh doanh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 50 nền kinh tế châu Á và Thái Bình Dương 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dựa trên tài nguyên,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kinh doanh của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Chỉ số năng lực công nghệ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chấp nhận số nền tảng,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 mất cấu trúc (mất cả độ cong lẫn độ dốc có ý nghĩa), với quan hệ nghiêng về một dạng âm đơn điệu như trường hợp giới hạn lý thuyết,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luận án đóng góp vào tài liệu kinh doanh quốc tế theo ba hướng chính. Hướng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học hỏi tăng cường bằng dữ liệu</w:t>
      </w:r>
      <w:r>
        <w:t xml:space="preserve">”</w:t>
      </w:r>
      <w:r>
        <w:t xml:space="preserve">, phù hợp với xu hướng quốc tế hóa được số hóa hỗ trợ (Banalieva &amp; Dhanaraj, 2019; Yang et al., 2025). Hướng thứ tư là đề xuất và đặt tên lý thuyết cho gánh nặng quốc tế hóa bắt buộc (Forced Internationalization Penalty, FIP),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hiệu ứng điều tiết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trường hợp ranh giới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ổn định theo thời gian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 gánh nặng quốc tế hóa bắt buộc (Forced Internationalization Penalty, FIP) cho bối cảnh các nền kinh tế đảo nhỏ Thái Bình Dương, lần đầu tiên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Bậc 1 và 2 khuếch đại đường cong quốc tế hóa và hiệu quả.</w:t>
      </w:r>
      <w:r>
        <w:t xml:space="preserve"> </w:t>
      </w:r>
      <w:r>
        <w:rPr>
          <w:bCs/>
          <w:b/>
        </w:rPr>
        <w:t xml:space="preserve">P5</w:t>
      </w:r>
      <w:r>
        <w:t xml:space="preserve"> </w:t>
      </w:r>
      <w:r>
        <w:t xml:space="preserve">(Trung Quốc, IJOEM, đang phản biện): kiểm định ổn định theo thời gian,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phổ thể chế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 tan biến 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Bậc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tăng trưởng doanh thu trong các kiểm định độ vững; TCI là chỉ số năng lực công nghệ; DAI là chỉ số chấp nhận số (digital adoption index), được hiểu như biến đại diện chấp nhận số nền tảng;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kinh doanh của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Xa0fa67ecba3df3aa7d32b04abc8423a171fc828"/>
    <w:p>
      <w:pPr>
        <w:pStyle w:val="Heading3"/>
      </w:pPr>
      <w:r>
        <w:t xml:space="preserve">2.1.2 Hiệu quả hoạt động kinh doanh của doanh nghiệp</w:t>
      </w:r>
    </w:p>
    <w:p>
      <w:pPr>
        <w:pStyle w:val="FirstParagraph"/>
      </w:pPr>
      <w:r>
        <w:t xml:space="preserve">Hiệu quả hoạt động kinh doanh của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Phổ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Bậc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Theo đó,</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hoạt động kinh doanh của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hoạt động kinh doanh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Tóm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kinh doanh của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thiết lập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Cần lưu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Nhìn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phân tích tổng hợp về quan hệ quốc tế hóa và hiệu quả, cho phép tổng hợp và định lượng hóa kết quả từ hàng trăm nghiên cứu thực nghiệm riêng lẻ. Tổng hợp từ các phân tích tổng hợp chính cho thấy một kết quả nhất quán nhưng phức tạp.</w:t>
      </w:r>
    </w:p>
    <w:p>
      <w:pPr>
        <w:pStyle w:val="BodyText"/>
      </w:pPr>
      <w:r>
        <w:t xml:space="preserve">Bausch và Krist (2007) phân tích 36 nghiên cứu (41 mẫu) và tìm thấy tác động tổng hợp dương nhưng nhỏ, đồng thời xác nhận rằng mức độ dị biệt (heterogeneity) giữa các nghiên cứu rất cao với I² &gt; 80%, hàm ý rằng các biến điều tiết là nguồn giải thích chủ yếu cho sự khác biệt. Kirca et al. (2012) mở rộng mẫu gộp lên 152 mẫu (141 nghiên cứu) và tìm thấy tác động tổng hợp tương tự, đồng thời xác nhận vai trò của bối cảnh quốc gia và ngành. Marano et al. (2016), nghiên cứu phân tích tổng hợp toàn diện nhất trong tài liệu với 359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49 nền kinh tế trên toàn cầu (châu Á–Thái Bình Dương là tiểu mẫu chủ đạo, chiếm 52% corpus, dùng làm phân tích độ nhạy theo vùng), ước lượng r̄ = 0,074 [KTC 95%: 0,060; 0,088], I² = 62,4%, Q_M(ICRV) = 17,35 (df = 4, p = ,002).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trên corpus toàn cầu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Về tổng thể,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Khoảng cách văn hóa và thể chế giữa thị trường nguồn và thị trường đích cũng là một biên bối cảnh quan trọng: Beugelsdijk et al. (2018), qua một phân tích tổng hợp về khoảng cách văn hóa và quá trình quốc tế hóa của doanh nghiệp, cho thấy hệ quả của quốc tế hóa thay đổi một cách hệ thống theo khoảng cách này, củng cố nhận định rằng chính bối cảnh chứ không phải một dạng hàm phổ quát mới chi phối kết quả.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Tóm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thiết lập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diện mạo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hoạt động kinh doanh của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hoạt động kinh doanh của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khung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khoảng trống thể chế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xác nhận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kinh doanh của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phổ thể chế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991039"/>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991039"/>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kinh doanh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 quan hệ âm đơn điệu không có điểm uốn, tức là điều kiện biên lý thuyết nơi mọi mức độ quốc tế hóa đều gây tổn hại đến hiệu quả hoạt động kinh doanh của doanh nghiệp.</w:t>
      </w:r>
    </w:p>
    <w:p>
      <w:pPr>
        <w:pStyle w:val="BodyText"/>
      </w:pPr>
      <w:r>
        <w:t xml:space="preserve">Giả thuyết H1b được phát biểu như sau. Tại các nền kinh tế SIDS (ICRV Nhóm VI), mối quan hệ giữa mức độ quốc tế hóa (FSTS) và hiệu quả hoạt động kinh doanh của doanh nghiệp (năng suất lao động) là âm đơn điệu,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Briguglio (1995)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 dịch chuyển một cách có trật tự theo quá trình trưởng thành năng lực và thể chế, một khả năng đối lập về mặt lý thuyết là ngưỡng tan biến 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 tan biến theo thời gian (điểm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kinh doanh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thiết lập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2.1,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2.1.</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Briguglio (1995)</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2.2 ánh xạ các nghiên cứu thành phần với mục trình bày kết quả và các giả thuyết tương ứng.</w:t>
      </w:r>
    </w:p>
    <w:p>
      <w:pPr>
        <w:pStyle w:val="BodyText"/>
      </w:pPr>
      <w:r>
        <w:rPr>
          <w:bCs/>
          <w:b/>
        </w:rPr>
        <w:t xml:space="preserve">Bảng 2.2.</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toàn cầu (49 nền)</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2.2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hoạt động kinh doanh của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6"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5"/>
        </w:numPr>
        <w:pStyle w:val="Compact"/>
      </w:pPr>
      <w:r>
        <w:rPr>
          <w:bCs/>
          <w:b/>
        </w:rPr>
        <w:t xml:space="preserve">Mở rộng phạm vi thời gian</w:t>
      </w:r>
      <w:r>
        <w:t xml:space="preserve">: từ 1977–2022 (bài ICBEF 2024)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5"/>
        </w:numPr>
        <w:pStyle w:val="Compact"/>
      </w:pPr>
      <w:r>
        <w:rPr>
          <w:bCs/>
          <w:b/>
        </w:rPr>
        <w:t xml:space="preserve">Mở rộng phạm vi biến điều tiết</w:t>
      </w:r>
      <w:r>
        <w:t xml:space="preserve">: thêm cụm biến điều tiết về năng lực số và 6 chế độ con ICRV, chưa được xem xét đầy đủ trong các phân tích tổng hợp trước.</w:t>
      </w:r>
    </w:p>
    <w:p>
      <w:pPr>
        <w:numPr>
          <w:ilvl w:val="0"/>
          <w:numId w:val="1005"/>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2024 (K=200 / k=113).</w:t>
      </w:r>
    </w:p>
    <w:p>
      <w:pPr>
        <w:numPr>
          <w:ilvl w:val="0"/>
          <w:numId w:val="1005"/>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hoạt động kinh doanh của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Start w:id="95" w:name="Xd4c164ee6604550537899b3ed376afa74960928"/>
    <w:p>
      <w:pPr>
        <w:pStyle w:val="Heading3"/>
      </w:pPr>
      <w:r>
        <w:t xml:space="preserve">3.2.4 Công cụ trích xuất dữ liệu và công bố sử dụng trí tuệ nhân tạo</w:t>
      </w:r>
    </w:p>
    <w:p>
      <w:pPr>
        <w:pStyle w:val="FirstParagraph"/>
      </w:pPr>
      <w:r>
        <w:t xml:space="preserve">Việc trích xuất cỡ ảnh hưởng từ K=288 ước lượng (k=238 nghiên cứu) được thực hiện bằng phần mềm chuyên dụng</w:t>
      </w:r>
      <w:r>
        <w:t xml:space="preserve"> </w:t>
      </w:r>
      <w:r>
        <w:rPr>
          <w:bCs/>
          <w:b/>
        </w:rPr>
        <w:t xml:space="preserve">M-AIDA</w:t>
      </w:r>
      <w:r>
        <w:t xml:space="preserve"> </w:t>
      </w:r>
      <w:r>
        <w:t xml:space="preserve">(Meta-Analysis Intelligent Data Assistant, phiên bản 7.0) do chính nghiên cứu sinh phát triển và đã nộp hồ sơ đăng ký quyền tác giả. M-AIDA dùng mô hình ngôn ngữ lớn (large language model, LLM) để đọc và trích các thống kê gốc (cỡ mẫu</w:t>
      </w:r>
      <w:r>
        <w:t xml:space="preserve"> </w:t>
      </w:r>
      <m:oMath>
        <m:r>
          <m:t>N</m:t>
        </m:r>
      </m:oMath>
      <w:r>
        <w:t xml:space="preserve">, hệ số tương quan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 khoảng tin cậy) từ bản PDF của từng nghiên cứu, kèm điểm tin cậy trích xuất (extraction confidence) ba mức — 1,0 khi lấy trực tiếp</w:t>
      </w:r>
      <w:r>
        <w:t xml:space="preserve"> </w:t>
      </w:r>
      <m:oMath>
        <m:r>
          <m:t>r</m:t>
        </m:r>
      </m:oMath>
      <w:r>
        <w:t xml:space="preserve">; 0,8 khi suy từ</w:t>
      </w:r>
      <w:r>
        <w:t xml:space="preserve"> </w:t>
      </w:r>
      <m:oMath>
        <m:r>
          <m:t>t</m:t>
        </m:r>
      </m:oMath>
      <w:r>
        <w:t xml:space="preserve">; 0,6 khi suy từ</w:t>
      </w:r>
      <w:r>
        <w:t xml:space="preserve"> </w:t>
      </w:r>
      <m:oMath>
        <m:r>
          <m:t>β</m:t>
        </m:r>
      </m:oMath>
      <w:r>
        <w:t xml:space="preserve"> </w:t>
      </w:r>
      <w:r>
        <w:t xml:space="preserve">theo Peterson và Brown (2005) — và tự động gắn cờ cần xác minh đối với mọi bản ghi có độ tin cậy dưới 0,7.</w:t>
      </w:r>
    </w:p>
    <w:p>
      <w:pPr>
        <w:pStyle w:val="BodyText"/>
      </w:pPr>
      <w:r>
        <w:t xml:space="preserve">Để bảo đảm liêm chính và khả năng tái lập, luận án áp dụng nguyên tắc</w:t>
      </w:r>
      <w:r>
        <w:t xml:space="preserve"> </w:t>
      </w:r>
      <w:r>
        <w:rPr>
          <w:bCs/>
          <w:b/>
        </w:rPr>
        <w:t xml:space="preserve">con người trong vòng lặp (human-in-the-loop) với kiểm chứng toàn bộ (100%) bởi nghiên cứu sinh</w:t>
      </w:r>
      <w:r>
        <w:t xml:space="preserve"> </w:t>
      </w:r>
      <w:r>
        <w:t xml:space="preserve">trong vai trò chủ trì nghiên cứu (Principal Investigator): (i) LLM</w:t>
      </w:r>
      <w:r>
        <w:t xml:space="preserve"> </w:t>
      </w:r>
      <w:r>
        <w:rPr>
          <w:bCs/>
          <w:b/>
        </w:rPr>
        <w:t xml:space="preserve">chỉ</w:t>
      </w:r>
      <w:r>
        <w:t xml:space="preserve"> </w:t>
      </w:r>
      <w:r>
        <w:t xml:space="preserve">trích xuất thống kê và</w:t>
      </w:r>
      <w:r>
        <w:t xml:space="preserve"> </w:t>
      </w:r>
      <w:r>
        <w:rPr>
          <w:bCs/>
          <w:b/>
        </w:rPr>
        <w:t xml:space="preserve">không</w:t>
      </w:r>
      <w:r>
        <w:t xml:space="preserve"> </w:t>
      </w:r>
      <w:r>
        <w:t xml:space="preserve">suy đoán các biến điều tiết thể chế — các nhãn chế độ ICRV, pha DPL và chỉ số cDAI do nghiên cứu sinh gán thủ công từ bảng tra cứu ngoài (WGI Rule of Law, năm dữ liệu trung vị, Digital Adoption Index), bảo đảm tính kiểm chứng độc lập; (ii) mỗi bản ghi phải được nghiên cứu sinh phê duyệt — với quyền ghi đè bất kỳ trường nào — trước khi được</w:t>
      </w:r>
      <w:r>
        <w:t xml:space="preserve"> </w:t>
      </w:r>
      <w:r>
        <w:rPr>
          <w:bCs/>
          <w:b/>
        </w:rPr>
        <w:t xml:space="preserve">khóa bất biến (irreversible data lock)</w:t>
      </w:r>
      <w:r>
        <w:t xml:space="preserve"> </w:t>
      </w:r>
      <w:r>
        <w:t xml:space="preserve">kèm dấu thời gian; (iii) chỉ các bản ghi đã khóa mới được đưa vào tập phân tích tổng hợp. Cơ chế hai bước phê duyệt–khóa tạo dấu vết kiểm toán (audit trail) phân tách rạch ròi phần do máy trích xuất và phần do con người quyết định, phù hợp với chuẩn mực công bố sử dụng trí tuệ nhân tạo ngày càng được các tạp chí học thuật yêu cầu. Kiến trúc, quy trình trích xuất–chuyển đổi cỡ ảnh hưởng và cơ chế quản trị dữ liệu của M-AIDA được trình bày chi tiết ở</w:t>
      </w:r>
      <w:r>
        <w:t xml:space="preserve"> </w:t>
      </w:r>
      <w:r>
        <w:rPr>
          <w:bCs/>
          <w:b/>
        </w:rPr>
        <w:t xml:space="preserve">Phụ lục B</w:t>
      </w:r>
      <w:r>
        <w:t xml:space="preserve">.</w:t>
      </w:r>
    </w:p>
    <w:bookmarkEnd w:id="95"/>
    <w:bookmarkEnd w:id="96"/>
    <w:bookmarkStart w:id="113" w:name="X2f2dc61cf51b22160123af8668c978f8ce43175"/>
    <w:p>
      <w:pPr>
        <w:pStyle w:val="Heading2"/>
      </w:pPr>
      <w:r>
        <w:t xml:space="preserve">3.3 Giai đoạn 2: Phân tích thực nghiệm đa quốc gia</w:t>
      </w:r>
    </w:p>
    <w:bookmarkStart w:id="97"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7"/>
    <w:bookmarkStart w:id="98"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phân hệ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mô hình để bảo đảm kết quả không bị chi phối bởi cơ chế khuyết. Toàn bộ thao tác chi tiết của quy trình sáu bước, cùng dòng dữ liệu kiểu PRISMA và mã tái lập, được trình bày đầy đủ ở Phụ lục A.</w:t>
      </w:r>
    </w:p>
    <w:bookmarkEnd w:id="98"/>
    <w:bookmarkStart w:id="9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w:t>
      </w:r>
      <w:r>
        <w:t xml:space="preserve"> </w:t>
      </w:r>
      <m:oMath>
        <m:r>
          <m:rPr>
            <m:sty m:val="p"/>
          </m:rPr>
          <m:t>L</m:t>
        </m:r>
        <m:r>
          <m:rPr>
            <m:sty m:val="p"/>
          </m:rPr>
          <m:t>P</m:t>
        </m:r>
      </m:oMath>
      <w:r>
        <w:t xml:space="preserve"> </w:t>
      </w:r>
      <w:r>
        <w:t xml:space="preserve">(labour productivity), đo bằng</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trong đó</w:t>
      </w:r>
      <w:r>
        <w:t xml:space="preserve"> </w:t>
      </w:r>
      <m:oMath>
        <m:r>
          <m:t>d</m:t>
        </m:r>
        <m:r>
          <m:t>2</m:t>
        </m:r>
      </m:oMath>
      <w:r>
        <w:t xml:space="preserve"> </w:t>
      </w:r>
      <w:r>
        <w:t xml:space="preserve">là tổng doanh thu năm tài chính gần nhất và</w:t>
      </w:r>
      <w:r>
        <w:t xml:space="preserve"> </w:t>
      </w:r>
      <m:oMath>
        <m:r>
          <m:t>l</m:t>
        </m:r>
        <m:r>
          <m:t>1</m:t>
        </m:r>
      </m:oMath>
      <w:r>
        <w:t xml:space="preserve"> </w:t>
      </w:r>
      <w:r>
        <w:t xml:space="preserve">là số lao động thường xuyên toàn thời gian (mã trường WBES).</w:t>
      </w:r>
    </w:p>
    <w:p>
      <w:pPr>
        <w:pStyle w:val="BodyText"/>
      </w:pPr>
      <w:r>
        <w:rPr>
          <w:bCs/>
          <w:b/>
        </w:rPr>
        <w:t xml:space="preserve">Cơ sở kế thừa</w:t>
      </w:r>
      <w:r>
        <w:t xml:space="preserve">: năng suất lao động được sử dụng rộng rãi trong nghiên cứu WBES và trong tài liệu về năng suất doanh nghiệp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báo cáo tài chính đầy đủ, nên năng suất lao động phù hợp hơn các tỷ suất sinh lời kế toán (ROA, ROE, 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sty m:val="p"/>
              </m:rPr>
              <m:t>L</m:t>
            </m:r>
            <m:r>
              <m:rPr>
                <m:sty m:val="p"/>
              </m:rPr>
              <m:t>P</m:t>
            </m:r>
          </m:e>
        </m:d>
      </m:oMath>
      <w:r>
        <w:t xml:space="preserve"> </w:t>
      </w:r>
      <w:r>
        <w:t xml:space="preserve">từ trường WBES</w:t>
      </w:r>
      <w:r>
        <w:t xml:space="preserve"> </w:t>
      </w:r>
      <m:oMath>
        <m:r>
          <m:t>d</m:t>
        </m:r>
        <m:r>
          <m:t>2</m:t>
        </m:r>
        <m:r>
          <m:rPr>
            <m:sty m:val="p"/>
          </m:rPr>
          <m:t>/</m:t>
        </m:r>
        <m:r>
          <m:t>l</m:t>
        </m:r>
        <m:r>
          <m:t>1</m:t>
        </m:r>
      </m:oMath>
      <w:r>
        <w:t xml:space="preserve"> </w:t>
      </w:r>
      <w:r>
        <w:t xml:space="preserve">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hiệu ứng cố định năm (P5:</w:t>
      </w:r>
      <w:r>
        <w:t xml:space="preserve"> </w:t>
      </w:r>
      <m:oMath>
        <m:sSub>
          <m:e>
            <m:r>
              <m:t>D</m:t>
            </m:r>
          </m:e>
          <m:sub>
            <m:r>
              <m:t>2024</m:t>
            </m:r>
          </m:sub>
        </m:sSub>
      </m:oMath>
      <w:r>
        <w:t xml:space="preserve">; P3 bổ sung hiệu chỉnh PPP cho khoảng cách 14 năm 2009–2023), kèm cắt đuôi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w:t>
      </w:r>
      <w:r>
        <w:t xml:space="preserve"> </w:t>
      </w:r>
      <m:oMath>
        <m:r>
          <m:rPr>
            <m:sty m:val="p"/>
          </m:rPr>
          <m:t>F</m:t>
        </m:r>
        <m:r>
          <m:rPr>
            <m:sty m:val="p"/>
          </m:rPr>
          <m:t>S</m:t>
        </m:r>
        <m:r>
          <m:rPr>
            <m:sty m:val="p"/>
          </m:rPr>
          <m:t>T</m:t>
        </m:r>
        <m:r>
          <m:rPr>
            <m:sty m:val="p"/>
          </m:rPr>
          <m:t>S</m:t>
        </m:r>
      </m:oMath>
      <w:r>
        <w:t xml:space="preserve"> </w:t>
      </w:r>
      <w:r>
        <w:t xml:space="preserve">bằng</w:t>
      </w:r>
      <w:r>
        <w:t xml:space="preserve"> </w:t>
      </w:r>
      <w:r>
        <w:rPr>
          <w:bCs/>
          <w:b/>
        </w:rPr>
        <w:t xml:space="preserve">tổng xuất khẩu trực tiếp và gián tiếp</w:t>
      </w:r>
      <w:r>
        <w:t xml:space="preserve"> </w:t>
      </w:r>
      <w:r>
        <w:t xml:space="preserve">(trường WBES</w:t>
      </w:r>
      <w:r>
        <w:t xml:space="preserve"> </w:t>
      </w:r>
      <m:oMath>
        <m:r>
          <m:t>d</m:t>
        </m:r>
        <m:r>
          <m:t>3</m:t>
        </m:r>
        <m:r>
          <m:t>b</m:t>
        </m:r>
        <m:r>
          <m:rPr>
            <m:sty m:val="p"/>
          </m:rPr>
          <m:t>+</m:t>
        </m:r>
        <m:r>
          <m:t>d</m:t>
        </m:r>
        <m:r>
          <m:t>3</m:t>
        </m:r>
        <m:r>
          <m:t>c</m:t>
        </m:r>
      </m:oMath>
      <w:r>
        <w:t xml:space="preserve">),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w:t>
      </w:r>
      <m:oMath>
        <m:r>
          <m:t>d</m:t>
        </m:r>
        <m:r>
          <m:t>3</m:t>
        </m:r>
        <m:r>
          <m:t>c</m:t>
        </m:r>
      </m:oMath>
      <w:r>
        <w:t xml:space="preserve">),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tỷ suất lợi nhuận trên doanh thu (</w:t>
      </w:r>
      <m:oMath>
        <m:r>
          <m:rPr>
            <m:sty m:val="p"/>
          </m:rPr>
          <m:t>R</m:t>
        </m:r>
        <m:r>
          <m:rPr>
            <m:sty m:val="p"/>
          </m:rPr>
          <m:t>O</m:t>
        </m:r>
        <m:r>
          <m:rPr>
            <m:sty m:val="p"/>
          </m:rPr>
          <m:t>S</m:t>
        </m:r>
      </m:oMath>
      <w:r>
        <w:t xml:space="preserve">), tăng trưởng doanh thu, tăng trưởng lao động, và logarit doanh thu năm</w:t>
      </w:r>
      <w:r>
        <w:t xml:space="preserve"> </w:t>
      </w:r>
      <m:oMath>
        <m:r>
          <m:rPr>
            <m:sty m:val="p"/>
          </m:rPr>
          <m:t>ln</m:t>
        </m:r>
        <m:d>
          <m:dPr>
            <m:begChr m:val="("/>
            <m:endChr m:val=")"/>
            <m:sepChr m:val=""/>
            <m:grow/>
          </m:dPr>
          <m:e>
            <m:r>
              <m:t>d</m:t>
            </m:r>
            <m:r>
              <m:t>2</m:t>
            </m:r>
          </m:e>
        </m:d>
      </m:oMath>
      <w:r>
        <w:t xml:space="preserve">.</w:t>
      </w:r>
    </w:p>
    <w:p>
      <w:pPr>
        <w:pStyle w:val="BodyText"/>
      </w:pPr>
      <w:r>
        <w:rPr>
          <w:bCs/>
          <w:b/>
        </w:rPr>
        <w:t xml:space="preserve">Đóng góp mới</w:t>
      </w:r>
      <w:r>
        <w:t xml:space="preserve">: lập luận rõ ràng về hiệu quả hoạt động kinh doanh của doanh nghiệp là khái niệm đa chiều và việc lựa chọn thước đo phải phù hợp với bối cảnh dữ liệu (xem Chương 2).</w:t>
      </w:r>
    </w:p>
    <w:bookmarkEnd w:id="99"/>
    <w:bookmarkStart w:id="100"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100"/>
    <w:bookmarkStart w:id="101" w:name="đo-lường-biến-độc-lập-mức-độ-quốc-tế-hóa"/>
    <w:p>
      <w:pPr>
        <w:pStyle w:val="Heading3"/>
      </w:pPr>
      <w:r>
        <w:t xml:space="preserve">3.3.3 Đo lường biến độc lập: Mức độ quốc tế hóa</w:t>
      </w:r>
    </w:p>
    <w:p>
      <w:pPr>
        <w:pStyle w:val="FirstParagraph"/>
      </w:pPr>
      <w:r>
        <w:rPr>
          <w:bCs/>
          <w:b/>
        </w:rPr>
        <w:t xml:space="preserve">Khái niệm.</w:t>
      </w:r>
      <w:r>
        <w:t xml:space="preserve"> </w:t>
      </w:r>
      <w:r>
        <w:t xml:space="preserve">Biến độc lập trọng tâm của luận án là</w:t>
      </w:r>
      <w:r>
        <w:t xml:space="preserve"> </w:t>
      </w:r>
      <w:r>
        <w:rPr>
          <w:iCs/>
          <w:i/>
        </w:rPr>
        <w:t xml:space="preserve">mức độ quốc tế hóa</w:t>
      </w:r>
      <w:r>
        <w:t xml:space="preserve"> </w:t>
      </w:r>
      <w:r>
        <w:t xml:space="preserve">(degree of internationalization, DOI) — phạm vi mà doanh nghiệp gắn hoạt động của mình với thị trường nước ngoài. Theo Sullivan (1994), mức độ quốc tế hóa là khái niệm đa chiều gồm ba thành phần: chiều theo doanh số (tỷ trọng doanh thu nước ngoài), chiều theo tài sản (tỷ trọng tài sản đặt ở nước ngoài) và chiều theo nhân sự, tâm lý (mức độ phân tán quốc tế của nhân lực và định hướng quản trị). Bộ dữ liệu WBES chỉ thu thập nhất quán</w:t>
      </w:r>
      <w:r>
        <w:t xml:space="preserve"> </w:t>
      </w:r>
      <w:r>
        <w:rPr>
          <w:bCs/>
          <w:b/>
        </w:rPr>
        <w:t xml:space="preserve">chiều theo doanh số</w:t>
      </w:r>
      <w:r>
        <w:t xml:space="preserve"> </w:t>
      </w:r>
      <w:r>
        <w:t xml:space="preserve">xuyên ba thế hệ bảng hỏi, nên luận án thao tác hóa mức độ quốc tế hóa bằng</w:t>
      </w:r>
      <w:r>
        <w:t xml:space="preserve"> </w:t>
      </w:r>
      <w:r>
        <w:rPr>
          <w:iCs/>
          <w:i/>
        </w:rPr>
        <w:t xml:space="preserve">cường độ xuất khẩu</w:t>
      </w:r>
      <w:r>
        <w:t xml:space="preserve"> </w:t>
      </w:r>
      <m:oMath>
        <m:r>
          <m:rPr>
            <m:sty m:val="p"/>
          </m:rPr>
          <m:t>F</m:t>
        </m:r>
        <m:r>
          <m:rPr>
            <m:sty m:val="p"/>
          </m:rPr>
          <m:t>S</m:t>
        </m:r>
        <m:r>
          <m:rPr>
            <m:sty m:val="p"/>
          </m:rPr>
          <m:t>T</m:t>
        </m:r>
        <m:r>
          <m:rPr>
            <m:sty m:val="p"/>
          </m:rPr>
          <m:t>S</m:t>
        </m:r>
      </m:oMath>
      <w:r>
        <w:t xml:space="preserve"> </w:t>
      </w:r>
      <w:r>
        <w:t xml:space="preserve">(foreign sales to total sales) — tỷ trọng doanh thu xuất khẩu trên tổng doanh thu, miền giá trị</w:t>
      </w:r>
      <w:r>
        <w:t xml:space="preserve"> </w:t>
      </w:r>
      <m:oMath>
        <m:d>
          <m:dPr>
            <m:begChr m:val="["/>
            <m:endChr m:val="]"/>
            <m:sepChr m:val=""/>
            <m:grow/>
          </m:dPr>
          <m:e>
            <m:r>
              <m:t>0</m:t>
            </m:r>
            <m:r>
              <m:rPr>
                <m:sty m:val="p"/>
              </m:rPr>
              <m:t>,</m:t>
            </m:r>
            <m:r>
              <m:t>1</m:t>
            </m:r>
          </m:e>
        </m:d>
      </m:oMath>
      <w:r>
        <w:t xml:space="preserve">.</w:t>
      </w:r>
    </w:p>
    <w:p>
      <w:pPr>
        <w:pStyle w:val="BodyText"/>
      </w:pPr>
      <w:r>
        <w:rPr>
          <w:bCs/>
          <w:b/>
        </w:rPr>
        <w:t xml:space="preserve">Biến chính.</w:t>
      </w:r>
      <w:r>
        <w:t xml:space="preserve"> </w:t>
      </w:r>
      <m:oMath>
        <m:r>
          <m:rPr>
            <m:sty m:val="p"/>
          </m:rPr>
          <m:t>F</m:t>
        </m:r>
        <m:r>
          <m:rPr>
            <m:sty m:val="p"/>
          </m:rPr>
          <m:t>S</m:t>
        </m:r>
        <m:r>
          <m:rPr>
            <m:sty m:val="p"/>
          </m:rPr>
          <m:t>T</m:t>
        </m:r>
        <m:r>
          <m:rPr>
            <m:sty m:val="p"/>
          </m:rPr>
          <m:t>S</m:t>
        </m:r>
      </m:oMath>
      <w:r>
        <w:t xml:space="preserve"> </w:t>
      </w:r>
      <w:r>
        <w:t xml:space="preserve">là tỷ lệ doanh thu xuất khẩu trên tổng doanh thu. Mô hình đưa vào đồng thời số hạng bậc nhất</w:t>
      </w:r>
      <w:r>
        <w:t xml:space="preserve"> </w:t>
      </w:r>
      <m:oMath>
        <m:r>
          <m:rPr>
            <m:sty m:val="p"/>
          </m:rPr>
          <m:t>F</m:t>
        </m:r>
        <m:r>
          <m:rPr>
            <m:sty m:val="p"/>
          </m:rPr>
          <m:t>S</m:t>
        </m:r>
        <m:r>
          <m:rPr>
            <m:sty m:val="p"/>
          </m:rPr>
          <m:t>T</m:t>
        </m:r>
        <m:r>
          <m:rPr>
            <m:sty m:val="p"/>
          </m:rPr>
          <m:t>S</m:t>
        </m:r>
      </m:oMath>
      <w:r>
        <w:t xml:space="preserve"> </w:t>
      </w:r>
      <w:r>
        <w:t xml:space="preserve">và số hạng bậc hai</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w:t>
      </w:r>
      <w:r>
        <w:t xml:space="preserve"> </w:t>
      </w:r>
      <m:oMath>
        <m:r>
          <m:rPr>
            <m:sty m:val="p"/>
          </m:rPr>
          <m:t>F</m:t>
        </m:r>
        <m:r>
          <m:rPr>
            <m:sty m:val="p"/>
          </m:rPr>
          <m:t>S</m:t>
        </m:r>
        <m:r>
          <m:rPr>
            <m:sty m:val="p"/>
          </m:rPr>
          <m:t>T</m:t>
        </m:r>
        <m:r>
          <m:rPr>
            <m:sty m:val="p"/>
          </m:rPr>
          <m:t>S</m:t>
        </m:r>
      </m:oMath>
      <w:r>
        <w:t xml:space="preserve"> </w:t>
      </w:r>
      <w:r>
        <w:t xml:space="preserve">là thước đo đơn chiều của mức độ quốc tế hóa được dùng phổ biến nhất trong tài liệu về quan hệ quốc tế hóa và hiệu quả khi dữ liệu chiều tài sản và chiều nhân sự quốc tế không khả dụng (Sullivan, 1994; Lu &amp; Beamish, 2001; Hitt et al., 2006). Việc bổ sung</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w:t>
      </w:r>
      <w:r>
        <w:t xml:space="preserve"> </w:t>
      </w:r>
      <m:oMath>
        <m:r>
          <m:rPr>
            <m:sty m:val="p"/>
          </m:rPr>
          <m:t>F</m:t>
        </m:r>
        <m:r>
          <m:rPr>
            <m:sty m:val="p"/>
          </m:rPr>
          <m:t>S</m:t>
        </m:r>
        <m:r>
          <m:rPr>
            <m:sty m:val="p"/>
          </m:rPr>
          <m:t>T</m:t>
        </m:r>
        <m:r>
          <m:rPr>
            <m:sty m:val="p"/>
          </m:rPr>
          <m:t>S</m:t>
        </m:r>
      </m:oMath>
      <w:r>
        <w:t xml:space="preserve">, làm cơ sở cho việc kiểm định mở rộng trong luận án. Giới hạn đo lường đơn chiều này (chỉ chiều doanh số) được nêu minh bạch như một hạn chế nghiên cứu ở Chương 5.</w:t>
      </w:r>
    </w:p>
    <w:bookmarkEnd w:id="101"/>
    <w:bookmarkStart w:id="102"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2"/>
    <w:bookmarkStart w:id="103"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rPr>
            <m:sty m:val="p"/>
          </m:rPr>
          <m:t>F</m:t>
        </m:r>
        <m:r>
          <m:rPr>
            <m:sty m:val="p"/>
          </m:rPr>
          <m:t>S</m:t>
        </m:r>
        <m:r>
          <m:rPr>
            <m:sty m:val="p"/>
          </m:rPr>
          <m:t>T</m:t>
        </m:r>
        <m:r>
          <m:rPr>
            <m:sty m:val="p"/>
          </m:rP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rPr>
            <m:sty m:val="p"/>
          </m:rPr>
          <m:t>T</m:t>
        </m:r>
        <m:r>
          <m:rPr>
            <m:sty m:val="p"/>
          </m:rP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w:t>
      </w:r>
    </w:p>
    <w:bookmarkEnd w:id="103"/>
    <w:bookmarkStart w:id="107" w:name="đo-lường-biến-điều-tiết"/>
    <w:p>
      <w:pPr>
        <w:pStyle w:val="Heading3"/>
      </w:pPr>
      <w:r>
        <w:t xml:space="preserve">3.3.4 Đo lường biến điều tiết</w:t>
      </w:r>
    </w:p>
    <w:bookmarkStart w:id="104" w:name="X7d9ea5c42a421e85a30418a1ef2a1fc5a79d461"/>
    <w:p>
      <w:pPr>
        <w:pStyle w:val="Heading4"/>
      </w:pPr>
      <w:r>
        <w:t xml:space="preserve">Các cấu trúc số: năng lực công nghệ (TCI) và chấp nhận số (DAI)</w:t>
      </w:r>
    </w:p>
    <w:p>
      <w:pPr>
        <w:pStyle w:val="FirstParagraph"/>
      </w:pPr>
      <w:r>
        <w:t xml:space="preserve">Luận án phân biệt rõ hai cấu trúc:</w:t>
      </w:r>
    </w:p>
    <w:p>
      <w:pPr>
        <w:numPr>
          <w:ilvl w:val="0"/>
          <w:numId w:val="1006"/>
        </w:numPr>
        <w:pStyle w:val="Compact"/>
      </w:pPr>
      <w:r>
        <w:rPr>
          <w:bCs/>
          <w:b/>
        </w:rPr>
        <w:t xml:space="preserve">Chỉ số năng lực công nghệ</w:t>
      </w:r>
      <w:r>
        <w:t xml:space="preserve"> </w:t>
      </w:r>
      <w:r>
        <w:t xml:space="preserve">(technological capability index,</w:t>
      </w:r>
      <w:r>
        <w:t xml:space="preserve"> </w:t>
      </w:r>
      <m:oMath>
        <m:r>
          <m:rPr>
            <m:sty m:val="p"/>
          </m:rPr>
          <m:t>T</m:t>
        </m:r>
        <m:r>
          <m:rPr>
            <m:sty m:val="p"/>
          </m:rPr>
          <m:t>C</m:t>
        </m:r>
        <m:r>
          <m:rPr>
            <m:sty m:val="p"/>
          </m:rPr>
          <m:t>I</m:t>
        </m:r>
      </m:oMath>
      <w:r>
        <w:t xml:space="preserve">): chiều sâu năng lực công nghệ, tổng hợp từ cấp phép công nghệ nước ngoài, chi tiêu nghiên cứu và phát triển, đổi mới sản phẩm, và chứng nhận chất lượng.</w:t>
      </w:r>
    </w:p>
    <w:p>
      <w:pPr>
        <w:numPr>
          <w:ilvl w:val="0"/>
          <w:numId w:val="1006"/>
        </w:numPr>
        <w:pStyle w:val="Compact"/>
      </w:pPr>
      <w:r>
        <w:rPr>
          <w:bCs/>
          <w:b/>
        </w:rPr>
        <w:t xml:space="preserve">Chỉ số chấp nhận số</w:t>
      </w:r>
      <w:r>
        <w:t xml:space="preserve"> </w:t>
      </w:r>
      <w:r>
        <w:t xml:space="preserve">(digital adoption index,</w:t>
      </w:r>
      <w:r>
        <w:t xml:space="preserve"> </w:t>
      </w:r>
      <m:oMath>
        <m:r>
          <m:rPr>
            <m:sty m:val="p"/>
          </m:rPr>
          <m:t>D</m:t>
        </m:r>
        <m:r>
          <m:rPr>
            <m:sty m:val="p"/>
          </m:rPr>
          <m:t>A</m:t>
        </m:r>
        <m:r>
          <m:rPr>
            <m:sty m:val="p"/>
          </m:rPr>
          <m:t>I</m:t>
        </m:r>
      </m:oMath>
      <w:r>
        <w:t xml:space="preserve">): mức độ chấp nhận số bề mặt, tổng hợp từ website, thư điện tử, bán hàng trực tuyến (</w:t>
      </w:r>
      <m:oMath>
        <m:sSub>
          <m:e>
            <m:r>
              <m:rPr>
                <m:sty m:val="p"/>
              </m:rPr>
              <m:t>D</m:t>
            </m:r>
            <m:r>
              <m:rPr>
                <m:sty m:val="p"/>
              </m:rPr>
              <m:t>A</m:t>
            </m:r>
            <m:r>
              <m:rPr>
                <m:sty m:val="p"/>
              </m:rPr>
              <m:t>I</m:t>
            </m:r>
          </m:e>
          <m:sub>
            <m:r>
              <m:rPr>
                <m:nor/>
                <m:sty m:val="p"/>
              </m:rPr>
              <m:t>thin</m:t>
            </m:r>
          </m:sub>
        </m:sSub>
      </m:oMath>
      <w:r>
        <w:t xml:space="preserve">) hoặc bổ sung thanh toán điện tử và nhà cung cấp điện tử (</w:t>
      </w:r>
      <m:oMath>
        <m:sSub>
          <m:e>
            <m:r>
              <m:rPr>
                <m:sty m:val="p"/>
              </m:rPr>
              <m:t>D</m:t>
            </m:r>
            <m:r>
              <m:rPr>
                <m:sty m:val="p"/>
              </m:rPr>
              <m:t>A</m:t>
            </m:r>
            <m:r>
              <m:rPr>
                <m:sty m:val="p"/>
              </m:rPr>
              <m:t>I</m:t>
            </m:r>
          </m:e>
          <m:sub>
            <m:r>
              <m:rPr>
                <m:nor/>
                <m:sty m:val="p"/>
              </m:rPr>
              <m:t>rich</m:t>
            </m:r>
          </m:sub>
        </m:sSub>
      </m:oMath>
      <w:r>
        <w:t xml:space="preserve">).</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7"/>
        </w:numPr>
        <w:pStyle w:val="Compact"/>
      </w:pPr>
      <m:oMath>
        <m:sSub>
          <m:e>
            <m:r>
              <m:rPr>
                <m:sty m:val="p"/>
              </m:rPr>
              <m:t>T</m:t>
            </m:r>
            <m:r>
              <m:rPr>
                <m:sty m:val="p"/>
              </m:rPr>
              <m:t>C</m:t>
            </m:r>
            <m:r>
              <m:rPr>
                <m:sty m:val="p"/>
              </m:rPr>
              <m:t>I</m:t>
            </m:r>
          </m:e>
          <m:sub>
            <m:r>
              <m:rPr>
                <m:nor/>
                <m:sty m:val="p"/>
              </m:rPr>
              <m:t>thin</m:t>
            </m:r>
          </m:sub>
        </m:sSub>
      </m:oMath>
      <w:r>
        <w:t xml:space="preserve"> </w:t>
      </w:r>
      <w:r>
        <w:t xml:space="preserve">= chuẩn hóa z của trung bình hai mục cốt lõi: chứng chỉ chất lượng quốc tế (</w:t>
      </w:r>
      <w:r>
        <w:rPr>
          <w:rStyle w:val="VerbatimChar"/>
        </w:rPr>
        <w:t xml:space="preserve">b8</w:t>
      </w:r>
      <w:r>
        <w:t xml:space="preserve">) và cấp phép công nghệ nước ngoài (</w:t>
      </w:r>
      <w:r>
        <w:rPr>
          <w:rStyle w:val="VerbatimChar"/>
        </w:rPr>
        <w:t xml:space="preserve">e6</w:t>
      </w:r>
      <w:r>
        <w:t xml:space="preserve">). Dùng trong các nghiên cứu Việt Nam (P3), Singapore (P4), đa quốc gia (P7) và đảo nhỏ Thái Bình Dương (P8).</w:t>
      </w:r>
    </w:p>
    <w:p>
      <w:pPr>
        <w:numPr>
          <w:ilvl w:val="0"/>
          <w:numId w:val="1007"/>
        </w:numPr>
        <w:pStyle w:val="Compact"/>
      </w:pPr>
      <m:oMath>
        <m:sSub>
          <m:e>
            <m:r>
              <m:rPr>
                <m:sty m:val="p"/>
              </m:rPr>
              <m:t>T</m:t>
            </m:r>
            <m:r>
              <m:rPr>
                <m:sty m:val="p"/>
              </m:rPr>
              <m:t>C</m:t>
            </m:r>
            <m:r>
              <m:rPr>
                <m:sty m:val="p"/>
              </m:rPr>
              <m:t>I</m:t>
            </m:r>
          </m:e>
          <m:sub>
            <m:r>
              <m:rPr>
                <m:nor/>
                <m:sty m:val="p"/>
              </m:rPr>
              <m:t>full</m:t>
            </m:r>
          </m:sub>
        </m:sSub>
      </m:oMath>
      <w:r>
        <w:t xml:space="preserve"> </w:t>
      </w:r>
      <w:r>
        <w:t xml:space="preserve">= chuẩn hóa z của trung bình bốn mục:</w:t>
      </w:r>
      <w:r>
        <w:t xml:space="preserve"> </w:t>
      </w:r>
      <w:r>
        <w:rPr>
          <w:rStyle w:val="VerbatimChar"/>
        </w:rPr>
        <w:t xml:space="preserve">b8</w:t>
      </w:r>
      <w:r>
        <w:t xml:space="preserve">,</w:t>
      </w:r>
      <w:r>
        <w:t xml:space="preserve"> </w:t>
      </w:r>
      <w:r>
        <w:rPr>
          <w:rStyle w:val="VerbatimChar"/>
        </w:rPr>
        <w:t xml:space="preserve">e6</w:t>
      </w:r>
      <w:r>
        <w:t xml:space="preserve">, đổi mới sản phẩm (</w:t>
      </w:r>
      <w:r>
        <w:rPr>
          <w:rStyle w:val="VerbatimChar"/>
        </w:rPr>
        <w:t xml:space="preserve">h1</w:t>
      </w:r>
      <w:r>
        <w:t xml:space="preserve">), và chi nghiên cứu–phát triển (</w:t>
      </w:r>
      <w:r>
        <w:rPr>
          <w:rStyle w:val="VerbatimChar"/>
        </w:rPr>
        <w:t xml:space="preserve">h8</w:t>
      </w:r>
      <w:r>
        <w:t xml:space="preserve">). Dùng trong nghiên cứu Trung Quốc (P5), nơi cả hai sóng 2012 và 2024 đều có đủ phân hệ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hấp thụ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4"/>
    <w:bookmarkStart w:id="105" w:name="biến-thể-chế"/>
    <w:p>
      <w:pPr>
        <w:pStyle w:val="Heading4"/>
      </w:pPr>
      <w:r>
        <w:t xml:space="preserve">Biến thể chế</w:t>
      </w:r>
    </w:p>
    <w:p>
      <w:pPr>
        <w:pStyle w:val="FirstParagraph"/>
      </w:pPr>
      <w:r>
        <w:rPr>
          <w:bCs/>
          <w:b/>
        </w:rPr>
        <w:t xml:space="preserve">Biến chính</w:t>
      </w:r>
      <w:r>
        <w:t xml:space="preserve">: chỉ số rào cản kinh doanh (business obstacle index, tổng hợp từ các câu hỏi WBES về rào cản hoạt động), các biến đại diện chất lượng quản trị cấp quốc gia, chỉ số pháp quyền WGI (Kaufmann et al., 2011), và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tổng hợp bằng chứng về các biến điều tiết thể chế.</w:t>
      </w:r>
    </w:p>
    <w:bookmarkEnd w:id="105"/>
    <w:bookmarkStart w:id="106" w:name="đặc-điểm-nhà-quản-trị-cấp-cao"/>
    <w:p>
      <w:pPr>
        <w:pStyle w:val="Heading4"/>
      </w:pPr>
      <w:r>
        <w:t xml:space="preserve">Đặc điểm nhà quản trị cấp cao</w:t>
      </w:r>
    </w:p>
    <w:p>
      <w:pPr>
        <w:pStyle w:val="FirstParagraph"/>
      </w:pPr>
      <w:r>
        <w:rPr>
          <w:bCs/>
          <w:b/>
        </w:rPr>
        <w:t xml:space="preserve">Biến chính</w:t>
      </w:r>
      <w:r>
        <w:t xml:space="preserve">: kinh nghiệm nhà quản trị cấp cao (số năm kinh nghiệm trong ngành) và giới tính nhà quản trị cấp cao (nữ/nam).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106"/>
    <w:bookmarkEnd w:id="107"/>
    <w:bookmarkStart w:id="108"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Bậc 1 ghi nhận hiện diện số bề mặt qua chỉ báo website (trường c22b), một mục nhị phân khả dụng ở hầu hết các đợt khảo sát. Bậc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Bậc 1 (đơn biến nhị phân) dùng ở Việt Nam và đảo nhỏ Thái Bình Dương, biến thể Bậc 1 cộng Bậc 2 dùng ở Singapore và khung đa quốc gia khi trường k33 có mặt, và biến thể thu gọn về Bậc 1 khi trường Bậc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8"/>
    <w:bookmarkStart w:id="109"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phân hệ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Bậc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Bậc 2 thanh toán điện tử và Bậc 3 đám mây/hệ hoạch định nguồn lực doanh nghiệp. Khung đa quốc gia dùng biến thể Bậc 1 cộng Bậc 2 khi trường thanh toán điện tử có mặt và thu gọn về Bậc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9"/>
    <w:bookmarkStart w:id="110"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mô hình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10"/>
    <w:bookmarkStart w:id="111"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1"/>
    <w:bookmarkStart w:id="112"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w:t>
            </w:r>
            <m:oMath>
              <m:sSup>
                <m:e>
                  <m:r>
                    <m:rPr>
                      <m:nor/>
                      <m:sty m:val="p"/>
                    </m:rPr>
                    <m:t>FSTS</m:t>
                  </m:r>
                </m:e>
                <m:sup>
                  <m:r>
                    <m:t>2</m:t>
                  </m:r>
                </m:sup>
              </m:sSup>
            </m:oMath>
            <w:r>
              <w:t xml:space="preserve">)</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Bậc 1: website (nhị phân); Bậc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w:t>
            </w:r>
            <w:r>
              <w:t xml:space="preserve">$10%)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2"/>
    <w:bookmarkEnd w:id="113"/>
    <w:bookmarkStart w:id="131" w:name="mô-hình-phân-tích"/>
    <w:p>
      <w:pPr>
        <w:pStyle w:val="Heading2"/>
      </w:pPr>
      <w:r>
        <w:t xml:space="preserve">3.4 Mô hình phân tích</w:t>
      </w:r>
    </w:p>
    <w:bookmarkStart w:id="114"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4"/>
    <w:bookmarkStart w:id="115"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biến kiểm soát (control variables).</w:t>
      </w:r>
    </w:p>
    <w:bookmarkEnd w:id="115"/>
    <w:bookmarkStart w:id="116"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6"/>
    <w:bookmarkStart w:id="117"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117"/>
    <w:bookmarkStart w:id="120" w:name="mô-hình-điều-tiết-h2h6"/>
    <w:p>
      <w:pPr>
        <w:pStyle w:val="Heading3"/>
      </w:pPr>
      <w:r>
        <w:t xml:space="preserve">3.4.4 Mô hình điều tiết (H2–H6)</w:t>
      </w:r>
    </w:p>
    <w:bookmarkStart w:id="118"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M</m:t>
                  </m:r>
                </m:e>
                <m:sub>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8"/>
    <w:bookmarkStart w:id="119"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(các số hạng tương tác)</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chấp nhận số,</w:t>
      </w:r>
      <w:r>
        <w:t xml:space="preserve"> </w:t>
      </w:r>
      <m:oMath>
        <m:r>
          <m:t>I</m:t>
        </m:r>
      </m:oMath>
      <w:r>
        <w:t xml:space="preserve"> </w:t>
      </w:r>
      <w:r>
        <w:t xml:space="preserve">= thể chế,</w:t>
      </w:r>
      <w:r>
        <w:t xml:space="preserve"> </w:t>
      </w:r>
      <m:oMath>
        <m:r>
          <m:t>M</m:t>
        </m:r>
      </m:oMath>
      <w:r>
        <w:t xml:space="preserve"> </w:t>
      </w:r>
      <w:r>
        <w:t xml:space="preserve">= nhà quản trị.</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điều tiết ba chiều (số × thể chế × nhà quản trị) trong bối cảnh châu Á và Thái Bình Dương với 50 nước chưa được kiểm định trước đây.</w:t>
      </w:r>
    </w:p>
    <w:bookmarkEnd w:id="119"/>
    <w:bookmarkEnd w:id="120"/>
    <w:bookmarkStart w:id="121"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1"/>
    <w:bookmarkStart w:id="122"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122"/>
    <w:bookmarkStart w:id="123"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biến:</w:t>
      </w:r>
    </w:p>
    <w:p>
      <w:pPr>
        <w:numPr>
          <w:ilvl w:val="0"/>
          <w:numId w:val="1008"/>
        </w:numPr>
        <w:pStyle w:val="Compact"/>
      </w:pPr>
      <w:r>
        <w:rPr>
          <w:bCs/>
          <w:b/>
        </w:rPr>
        <w:t xml:space="preserve">lnLP_it</w:t>
      </w:r>
      <w:r>
        <w:t xml:space="preserve">: log năng suất lao động (ln doanh thu nội tệ / lao động thường xuyên)</w:t>
      </w:r>
    </w:p>
    <w:p>
      <w:pPr>
        <w:numPr>
          <w:ilvl w:val="0"/>
          <w:numId w:val="1008"/>
        </w:numPr>
        <w:pStyle w:val="Compact"/>
      </w:pPr>
      <w:r>
        <w:rPr>
          <w:bCs/>
          <w:b/>
        </w:rPr>
        <w:t xml:space="preserve">FSTS_c_it</w:t>
      </w:r>
      <w:r>
        <w:t xml:space="preserve">: cường độ xuất khẩu điều chỉnh trung bình trong sóng (mean-centred)</w:t>
      </w:r>
    </w:p>
    <w:p>
      <w:pPr>
        <w:numPr>
          <w:ilvl w:val="0"/>
          <w:numId w:val="1008"/>
        </w:numPr>
        <w:pStyle w:val="Compact"/>
      </w:pPr>
      <w:r>
        <w:rPr>
          <w:bCs/>
          <w:b/>
        </w:rPr>
        <w:t xml:space="preserve">FSTS_c²_it</w:t>
      </w:r>
      <w:r>
        <w:t xml:space="preserve">: bình phương cường độ xuất khẩu điều chỉnh</w:t>
      </w:r>
    </w:p>
    <w:p>
      <w:pPr>
        <w:numPr>
          <w:ilvl w:val="0"/>
          <w:numId w:val="1008"/>
        </w:numPr>
        <w:pStyle w:val="Compact"/>
      </w:pPr>
      <w:r>
        <w:rPr>
          <w:bCs/>
          <w:b/>
        </w:rPr>
        <w:t xml:space="preserve">TCI_z_it</w:t>
      </w:r>
      <w:r>
        <w:t xml:space="preserve">: năng lực công nghệ (chuẩn hoá z trong sóng)</w:t>
      </w:r>
    </w:p>
    <w:p>
      <w:pPr>
        <w:numPr>
          <w:ilvl w:val="0"/>
          <w:numId w:val="1008"/>
        </w:numPr>
        <w:pStyle w:val="Compact"/>
      </w:pPr>
      <w:r>
        <w:rPr>
          <w:bCs/>
          <w:b/>
        </w:rPr>
        <w:t xml:space="preserve">DAI_z_it</w:t>
      </w:r>
      <w:r>
        <w:t xml:space="preserve">: chỉ số số hoá cơ sở, Bậc 1 (chuẩn hoá z trong sóng)</w:t>
      </w:r>
    </w:p>
    <w:p>
      <w:pPr>
        <w:numPr>
          <w:ilvl w:val="0"/>
          <w:numId w:val="1008"/>
        </w:numPr>
        <w:pStyle w:val="Compact"/>
      </w:pPr>
      <w:r>
        <w:rPr>
          <w:bCs/>
          <w:b/>
        </w:rPr>
        <w:t xml:space="preserve">lnL</w:t>
      </w:r>
      <w:r>
        <w:t xml:space="preserve"> </w:t>
      </w:r>
      <w:r>
        <w:t xml:space="preserve">= ln(L) (quy mô),</w:t>
      </w:r>
      <w:r>
        <w:t xml:space="preserve"> </w:t>
      </w:r>
      <w:r>
        <w:rPr>
          <w:bCs/>
          <w:b/>
        </w:rPr>
        <w:t xml:space="preserve">Age</w:t>
      </w:r>
      <w:r>
        <w:t xml:space="preserve"> </w:t>
      </w:r>
      <w:r>
        <w:t xml:space="preserve">(tuổi),</w:t>
      </w:r>
      <w:r>
        <w:t xml:space="preserve"> </w:t>
      </w:r>
      <w:r>
        <w:rPr>
          <w:bCs/>
          <w:b/>
        </w:rPr>
        <w:t xml:space="preserve">Own</w:t>
      </w:r>
      <w:r>
        <w:t xml:space="preserve"> </w:t>
      </w:r>
      <w:r>
        <w:t xml:space="preserve">(sở hữu): biến kiểm soát</w:t>
      </w:r>
    </w:p>
    <w:p>
      <w:pPr>
        <w:numPr>
          <w:ilvl w:val="0"/>
          <w:numId w:val="1008"/>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TCI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TCI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DAI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DAI):</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ln(doanh thu nội tệ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trung bình sóng: chuẩn hoá điều chỉnh</w:t>
            </w:r>
          </w:p>
        </w:tc>
        <w:tc>
          <w:tcPr/>
          <w:p>
            <w:pPr>
              <w:pStyle w:val="Compact"/>
              <w:jc w:val="left"/>
            </w:pPr>
            <w:r>
              <w:t xml:space="preserve">Biến độc lập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 hạng phi tuyến</w:t>
            </w:r>
          </w:p>
        </w:tc>
        <w:tc>
          <w:tcPr/>
          <w:p>
            <w:pPr>
              <w:pStyle w:val="Compact"/>
              <w:jc w:val="left"/>
            </w:pPr>
            <w:r>
              <w:t xml:space="preserve">Kiểm định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Bậc 1 (H3 thăm dò)</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p>
      <w:pPr>
        <w:pStyle w:val="BodyText"/>
      </w:pPr>
      <w:r>
        <w:rPr>
          <w:iCs/>
          <w:i/>
        </w:rPr>
        <w:t xml:space="preserve">Đối chiếu ký hiệu (áp dụng cho toàn bộ bảng định nghĩa biến Chương 3): các ký hiệu Anh chính tắc dùng xuyên suốt luận án trước đây được ghi bằng mnemonic tiếng Việt — FSTS (CDDXK, cường độ xuất khẩu), TCI (NLCN, năng lực công nghệ), DAI (CSS, chấp nhận số), lnLP (lnNSLD, năng suất lao động), lnL (lnLD, quy mô lao động), Age (TuoiDN, tuổi doanh nghiệp), Own (SoHuuNN, sở hữu nước ngoài), MgrExp (KNQLy, kinh nghiệm quản lý) và MgrFem (NQL_nu, nữ quản lý cấp cao).</w:t>
      </w:r>
    </w:p>
    <w:bookmarkEnd w:id="123"/>
    <w:bookmarkStart w:id="124"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biến:</w:t>
      </w:r>
    </w:p>
    <w:p>
      <w:pPr>
        <w:numPr>
          <w:ilvl w:val="0"/>
          <w:numId w:val="1009"/>
        </w:numPr>
        <w:pStyle w:val="Compact"/>
      </w:pPr>
      <w:r>
        <w:rPr>
          <w:bCs/>
          <w:b/>
        </w:rPr>
        <w:t xml:space="preserve">lnLP_i</w:t>
      </w:r>
      <w:r>
        <w:t xml:space="preserve">: log năng suất lao động (ln doanh thu nội tệ / lao động thường xuyên)</w:t>
      </w:r>
    </w:p>
    <w:p>
      <w:pPr>
        <w:numPr>
          <w:ilvl w:val="0"/>
          <w:numId w:val="1009"/>
        </w:numPr>
        <w:pStyle w:val="Compact"/>
      </w:pPr>
      <w:r>
        <w:rPr>
          <w:bCs/>
          <w:b/>
        </w:rPr>
        <w:t xml:space="preserve">FSTS_i</w:t>
      </w:r>
      <w:r>
        <w:t xml:space="preserve">: cường độ xuất khẩu trực tiếp (d3c / 100)</w:t>
      </w:r>
    </w:p>
    <w:p>
      <w:pPr>
        <w:numPr>
          <w:ilvl w:val="0"/>
          <w:numId w:val="1009"/>
        </w:numPr>
        <w:pStyle w:val="Compact"/>
      </w:pPr>
      <w:r>
        <w:rPr>
          <w:bCs/>
          <w:b/>
        </w:rPr>
        <w:t xml:space="preserve">FSTS_c_i</w:t>
      </w:r>
      <w:r>
        <w:t xml:space="preserve">: FSTS trung bình mẫu; FSTS_c² là bình phương</w:t>
      </w:r>
    </w:p>
    <w:p>
      <w:pPr>
        <w:numPr>
          <w:ilvl w:val="0"/>
          <w:numId w:val="1009"/>
        </w:numPr>
        <w:pStyle w:val="Compact"/>
      </w:pPr>
      <w:r>
        <w:rPr>
          <w:bCs/>
          <w:b/>
        </w:rPr>
        <w:t xml:space="preserve">TCI_z_i</w:t>
      </w:r>
      <w:r>
        <w:t xml:space="preserve">: năng lực công nghệ, chuẩn hóa z của trung bình(b8₀₁, e6₀₁)</w:t>
      </w:r>
    </w:p>
    <w:p>
      <w:pPr>
        <w:numPr>
          <w:ilvl w:val="0"/>
          <w:numId w:val="1009"/>
        </w:numPr>
        <w:pStyle w:val="Compact"/>
      </w:pPr>
      <w:r>
        <w:rPr>
          <w:bCs/>
          <w:b/>
        </w:rPr>
        <w:t xml:space="preserve">DAI_z_i</w:t>
      </w:r>
      <w:r>
        <w:t xml:space="preserve">: chỉ số số hoá</w:t>
      </w:r>
      <w:r>
        <w:t xml:space="preserve"> </w:t>
      </w:r>
      <w:r>
        <w:rPr>
          <w:bCs/>
          <w:b/>
        </w:rPr>
        <w:t xml:space="preserve">Bậc 1 và 2</w:t>
      </w:r>
      <w:r>
        <w:t xml:space="preserve">, chuẩn hóa z của trung bình(c22b₀₁, k33₀₁, k38₀₁); khác P3 ở chỗ bao gồm thanh toán điện tử hai chiều (Bậc 2)</w:t>
      </w:r>
    </w:p>
    <w:p>
      <w:pPr>
        <w:numPr>
          <w:ilvl w:val="0"/>
          <w:numId w:val="1009"/>
        </w:numPr>
        <w:pStyle w:val="Compact"/>
      </w:pPr>
      <w:r>
        <w:rPr>
          <w:bCs/>
          <w:b/>
        </w:rPr>
        <w:t xml:space="preserve">lnL_i</w:t>
      </w:r>
      <w:r>
        <w:t xml:space="preserve"> </w:t>
      </w:r>
      <w:r>
        <w:t xml:space="preserve">= ln(L)_i (quy mô),</w:t>
      </w:r>
      <w:r>
        <w:t xml:space="preserve"> </w:t>
      </w:r>
      <w:r>
        <w:rPr>
          <w:bCs/>
          <w:b/>
        </w:rPr>
        <w:t xml:space="preserve">Age_i</w:t>
      </w:r>
      <w:r>
        <w:t xml:space="preserve"> </w:t>
      </w:r>
      <w:r>
        <w:t xml:space="preserve">(tuổi),</w:t>
      </w:r>
      <w:r>
        <w:t xml:space="preserve"> </w:t>
      </w:r>
      <w:r>
        <w:rPr>
          <w:bCs/>
          <w:b/>
        </w:rPr>
        <w:t xml:space="preserve">Own_i</w:t>
      </w:r>
      <w:r>
        <w:t xml:space="preserve"> </w:t>
      </w:r>
      <w:r>
        <w:t xml:space="preserve">(sở hữu): biến kiểm soát tương tự P3, gộp trong vector</w:t>
      </w:r>
      <w:r>
        <w:t xml:space="preserve"> </w:t>
      </w:r>
      <w:r>
        <w:rPr>
          <w:bCs/>
          <w:b/>
        </w:rPr>
        <w:t xml:space="preserve">X</w:t>
      </w:r>
      <w:r>
        <w:t xml:space="preserve">_i</w:t>
      </w:r>
    </w:p>
    <w:p>
      <w:pPr>
        <w:numPr>
          <w:ilvl w:val="0"/>
          <w:numId w:val="1009"/>
        </w:numPr>
        <w:pStyle w:val="Compact"/>
      </w:pPr>
      <w:r>
        <w:rPr>
          <w:bCs/>
          <w:b/>
        </w:rPr>
        <w:t xml:space="preserve">δ_s</w:t>
      </w:r>
      <w:r>
        <w:t xml:space="preserve">: ngành hiệu ứng cố định (ISIC 1-chữ số)</w:t>
      </w:r>
    </w:p>
    <w:p>
      <w:pPr>
        <w:numPr>
          <w:ilvl w:val="0"/>
          <w:numId w:val="1009"/>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sub>
          </m:sSub>
          <m:r>
            <m:rPr>
              <m:sty m:val="p"/>
            </m:rPr>
            <m:t>+</m:t>
          </m:r>
          <m:sSub>
            <m:e>
              <m:r>
                <m:t>γ</m:t>
              </m:r>
            </m:e>
            <m:sub>
              <m:r>
                <m:t>2</m:t>
              </m:r>
            </m:sub>
          </m:sSub>
          <m:r>
            <m:t> </m:t>
          </m:r>
          <m:sSub>
            <m:e>
              <m:r>
                <m:rPr>
                  <m:sty m:val="p"/>
                </m:rPr>
                <m:t>A</m:t>
              </m:r>
              <m:r>
                <m:rPr>
                  <m:sty m:val="p"/>
                </m:rPr>
                <m:t>g</m:t>
              </m:r>
              <m:r>
                <m:rPr>
                  <m:sty m:val="p"/>
                </m:rPr>
                <m:t>e</m:t>
              </m:r>
            </m:e>
            <m:sub>
              <m:r>
                <m:t>i</m:t>
              </m:r>
            </m:sub>
          </m:sSub>
          <m:r>
            <m:rPr>
              <m:sty m:val="p"/>
            </m:rPr>
            <m:t>+</m:t>
          </m:r>
          <m:sSub>
            <m:e>
              <m:r>
                <m:t>γ</m:t>
              </m:r>
            </m:e>
            <m:sub>
              <m:r>
                <m:t>3</m:t>
              </m:r>
            </m:sub>
          </m:sSub>
          <m:r>
            <m:t> </m:t>
          </m:r>
          <m:sSub>
            <m:e>
              <m:r>
                <m:rPr>
                  <m:sty m:val="p"/>
                </m:rPr>
                <m:t>O</m:t>
              </m:r>
              <m:r>
                <m:rPr>
                  <m:sty m:val="p"/>
                </m:rPr>
                <m:t>w</m:t>
              </m:r>
              <m:r>
                <m:rPr>
                  <m:sty m:val="p"/>
                </m:rPr>
                <m:t>n</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88</m:t>
        </m:r>
        <m:r>
          <m:rPr>
            <m:sty m:val="p"/>
          </m:rPr>
          <m:t>,</m:t>
        </m:r>
        <m:r>
          <m:t>6</m:t>
        </m:r>
        <m:r>
          <m:rPr>
            <m:sty m:val="p"/>
          </m:rPr>
          <m:t>%</m:t>
        </m:r>
      </m:oMath>
      <w:r>
        <w:t xml:space="preserve"> </w:t>
      </w:r>
      <m:oMath>
        <m:r>
          <m:rPr>
            <m:sty m:val="p"/>
          </m:rPr>
          <m:t>F</m:t>
        </m:r>
        <m:r>
          <m:rPr>
            <m:sty m:val="p"/>
          </m:rPr>
          <m:t>S</m:t>
        </m:r>
        <m:r>
          <m:rPr>
            <m:sty m:val="p"/>
          </m:rPr>
          <m:t>T</m:t>
        </m:r>
        <m:r>
          <m:rPr>
            <m:sty m:val="p"/>
          </m:rPr>
          <m:t>S</m:t>
        </m:r>
      </m:oMath>
      <w:r>
        <w:t xml:space="preserve"> </w:t>
      </w:r>
      <w:r>
        <w:t xml:space="preserve">(CI bootstrap [53%, 253%]). Lưu ý: Lind–Mehlum</w:t>
      </w:r>
      <w:r>
        <w:t xml:space="preserve"> </w:t>
      </w:r>
      <m:oMath>
        <m:r>
          <m:t>p</m:t>
        </m:r>
        <m:r>
          <m:rPr>
            <m:sty m:val="p"/>
          </m:rPr>
          <m:t>=</m:t>
        </m:r>
        <m:r>
          <m:t>0</m:t>
        </m:r>
        <m:r>
          <m:rPr>
            <m:sty m:val="p"/>
          </m:rPr>
          <m:t>,</m:t>
        </m:r>
        <m:r>
          <m:t>303</m:t>
        </m:r>
      </m:oMath>
      <w:r>
        <w:t xml:space="preserve">, không bác bỏ tuyến tính trong phạm vi dữ liệu quan sát; đây là kết quả thông tin tích cực theo khung bão hòa (saturation framework).</w:t>
      </w:r>
    </w:p>
    <w:p>
      <w:pPr>
        <w:pStyle w:val="BodyText"/>
      </w:pPr>
      <w:r>
        <w:rPr>
          <w:bCs/>
          <w:b/>
        </w:rPr>
        <w:t xml:space="preserve">M3 (+ TCI, H1-TCI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M5 (Mô hình đầy đủ, kiểm định H3):</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sub>
                    </m:sSub>
                    <m:r>
                      <m:rPr>
                        <m:sty m:val="p"/>
                      </m:rPr>
                      <m:t>×</m:t>
                    </m:r>
                    <m:sSub>
                      <m:e>
                        <m:r>
                          <m:rPr>
                            <m:sty m:val="p"/>
                          </m:rPr>
                          <m:t>D</m:t>
                        </m:r>
                        <m:r>
                          <m:rPr>
                            <m:sty m:val="p"/>
                          </m:rPr>
                          <m:t>A</m:t>
                        </m:r>
                        <m:r>
                          <m:rPr>
                            <m:sty m:val="p"/>
                          </m:rPr>
                          <m:t>I</m:t>
                        </m:r>
                      </m:e>
                      <m:sub>
                        <m:r>
                          <m:t>z</m:t>
                        </m:r>
                        <m:r>
                          <m:rPr>
                            <m:sty m:val="p"/>
                          </m:rPr>
                          <m:t>,</m:t>
                        </m:r>
                        <m:r>
                          <m:t>i</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rPr>
                            <m:sty m:val="p"/>
                          </m:rPr>
                          <m:t>D</m:t>
                        </m:r>
                        <m:r>
                          <m:rPr>
                            <m:sty m:val="p"/>
                          </m:rPr>
                          <m:t>A</m:t>
                        </m:r>
                        <m:r>
                          <m:rPr>
                            <m:sty m:val="p"/>
                          </m:rPr>
                          <m:t>I</m:t>
                        </m:r>
                      </m:e>
                      <m:sub>
                        <m:r>
                          <m:t>z</m:t>
                        </m:r>
                        <m:r>
                          <m:rPr>
                            <m:sty m:val="p"/>
                          </m:rPr>
                          <m:t>,</m:t>
                        </m:r>
                        <m:r>
                          <m:t>i</m:t>
                        </m:r>
                      </m:sub>
                    </m:sSub>
                  </m:e>
                </m:d>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e>
            </m:mr>
          </m:m>
        </m:oMath>
      </m:oMathPara>
    </w:p>
    <w:p>
      <w:pPr>
        <w:pStyle w:val="FirstParagraph"/>
      </w:pPr>
      <w:r>
        <w:t xml:space="preserve">H3:</w:t>
      </w:r>
      <w:r>
        <w:t xml:space="preserve"> </w:t>
      </w:r>
      <m:oMath>
        <m:sSub>
          <m:e>
            <m:r>
              <m:t>β</m:t>
            </m:r>
          </m:e>
          <m:sub>
            <m:r>
              <m:t>6</m:t>
            </m:r>
          </m:sub>
        </m:sSub>
        <m:r>
          <m:rPr>
            <m:sty m:val="p"/>
          </m:rPr>
          <m:t>&gt;</m:t>
        </m:r>
        <m:r>
          <m:t>0</m:t>
        </m:r>
      </m:oMath>
      <w:r>
        <w:t xml:space="preserve">, DAI khuếch đại lợi nhuận quốc tế hóa và hiệu quả ở cường độ xuất khẩu cao (coordination platform mechanism; Stallkamp &amp; Schotter, 2021). Kết quả:</w:t>
      </w:r>
      <w:r>
        <w:t xml:space="preserve"> </w:t>
      </w:r>
      <m:oMath>
        <m:sSub>
          <m:e>
            <m:r>
              <m:t>β</m:t>
            </m:r>
          </m:e>
          <m:sub>
            <m:r>
              <m:t>6</m:t>
            </m:r>
          </m:sub>
        </m:sSub>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trong mẫu đầy đủ;</w:t>
      </w:r>
      <w:r>
        <w:t xml:space="preserve"> </w:t>
      </w:r>
      <m:oMath>
        <m:sSub>
          <m:e>
            <m:r>
              <m:t>β</m:t>
            </m:r>
          </m:e>
          <m:sub>
            <m:r>
              <m:t>6</m:t>
            </m:r>
          </m:sub>
        </m:sSub>
        <m:r>
          <m:rPr>
            <m:sty m:val="p"/>
          </m:rPr>
          <m:t>=</m:t>
        </m:r>
        <m:r>
          <m:rPr>
            <m:sty m:val="p"/>
          </m:rPr>
          <m:t>+</m:t>
        </m:r>
        <m:r>
          <m:t>2</m:t>
        </m:r>
        <m:r>
          <m:rPr>
            <m:sty m:val="p"/>
          </m:rPr>
          <m:t>,</m:t>
        </m:r>
        <m:r>
          <m:t>821</m:t>
        </m:r>
      </m:oMath>
      <w:r>
        <w:t xml:space="preserve"> </w:t>
      </w:r>
      <w:r>
        <w:t xml:space="preserve">(</w:t>
      </w:r>
      <m:oMath>
        <m:r>
          <m:t>p</m:t>
        </m:r>
        <m:r>
          <m:rPr>
            <m:sty m:val="p"/>
          </m:rPr>
          <m:t>=</m:t>
        </m:r>
        <m:r>
          <m:t>0</m:t>
        </m:r>
        <m:r>
          <m:rPr>
            <m:sty m:val="p"/>
          </m:rPr>
          <m:t>,</m:t>
        </m:r>
        <m:r>
          <m:t>003</m:t>
        </m:r>
      </m:oMath>
      <w:r>
        <w:t xml:space="preserve">, F-test) trong mẫu chỉ xuất khẩu (</w:t>
      </w:r>
      <m:oMath>
        <m:r>
          <m:t>N</m:t>
        </m:r>
        <m:r>
          <m:rPr>
            <m:sty m:val="p"/>
          </m:rPr>
          <m:t>=</m:t>
        </m:r>
        <m:r>
          <m:t>84</m:t>
        </m:r>
      </m:oMath>
      <w:r>
        <w:t xml:space="preserve">, lưu ý: công suất thống kê</w:t>
      </w:r>
      <w:r>
        <w:t xml:space="preserve"> </w:t>
      </w:r>
      <m:oMath>
        <m:r>
          <m:rPr>
            <m:sty m:val="p"/>
          </m:rPr>
          <m:t>≈</m:t>
        </m:r>
        <m:r>
          <m:t>16</m:t>
        </m:r>
        <m:r>
          <m:rPr>
            <m:sty m:val="p"/>
          </m:rPr>
          <m:t>%</m:t>
        </m:r>
      </m:oMath>
      <w:r>
        <w:t xml:space="preserve">)</w:t>
      </w:r>
    </w:p>
    <w:p>
      <w:pPr>
        <w:pStyle w:val="BodyText"/>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Phi tuyến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Bậc 1 và 2</w:t>
            </w:r>
          </w:p>
        </w:tc>
        <w:tc>
          <w:tcPr/>
          <w:p>
            <w:pPr>
              <w:pStyle w:val="Compact"/>
              <w:jc w:val="left"/>
            </w:pPr>
            <w:r>
              <w:t xml:space="preserve">Số hoá Bậc 1 và 2 (H3)</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4"/>
    <w:bookmarkStart w:id="125"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lõi panel</w:t>
      </w:r>
      <w:r>
        <w:t xml:space="preserve">”</w:t>
      </w:r>
      <w:r>
        <w:t xml:space="preserve"> </w:t>
      </w:r>
      <w:r>
        <w:t xml:space="preserve">(panel core) được sử dụng cho sai số chuẩn gom cụm (cluster-robust SE)). Ký hiệu biến:</w:t>
      </w:r>
    </w:p>
    <w:p>
      <w:pPr>
        <w:numPr>
          <w:ilvl w:val="0"/>
          <w:numId w:val="1010"/>
        </w:numPr>
        <w:pStyle w:val="Compact"/>
      </w:pPr>
      <w:r>
        <w:rPr>
          <w:bCs/>
          <w:b/>
        </w:rPr>
        <w:t xml:space="preserve">lnLP_it</w:t>
      </w:r>
      <w:r>
        <w:t xml:space="preserve">: log năng suất lao động (biến phụ thuộc)</w:t>
      </w:r>
    </w:p>
    <w:p>
      <w:pPr>
        <w:numPr>
          <w:ilvl w:val="0"/>
          <w:numId w:val="1010"/>
        </w:numPr>
        <w:pStyle w:val="Compact"/>
      </w:pPr>
      <w:r>
        <w:rPr>
          <w:bCs/>
          <w:b/>
        </w:rPr>
        <w:t xml:space="preserve">FSTS_c_it</w:t>
      </w:r>
      <w:r>
        <w:t xml:space="preserve">: cường độ xuất khẩu centred theo trung bình sóng</w:t>
      </w:r>
    </w:p>
    <w:p>
      <w:pPr>
        <w:numPr>
          <w:ilvl w:val="0"/>
          <w:numId w:val="1010"/>
        </w:numPr>
        <w:pStyle w:val="Compact"/>
      </w:pPr>
      <w:r>
        <w:rPr>
          <w:bCs/>
          <w:b/>
        </w:rPr>
        <w:t xml:space="preserve">TCI_full_z_it</w:t>
      </w:r>
      <w:r>
        <w:t xml:space="preserve">: năng lực công nghệ toàn diện, chuẩn hóa z của TB(b8₀₁, e6₀₁, h1₀₁, h8₀₁); mở rộng hơn P3</w:t>
      </w:r>
    </w:p>
    <w:p>
      <w:pPr>
        <w:numPr>
          <w:ilvl w:val="0"/>
          <w:numId w:val="1010"/>
        </w:numPr>
        <w:pStyle w:val="Compact"/>
      </w:pPr>
      <w:r>
        <w:rPr>
          <w:bCs/>
          <w:b/>
        </w:rPr>
        <w:t xml:space="preserve">DAI_core_it</w:t>
      </w:r>
      <w:r>
        <w:t xml:space="preserve">: chỉ số số hoá cơ bản, chỉ c22b₀₁ (Bậc 1 mỏng, một chỉ báo nhị phân)</w:t>
      </w:r>
    </w:p>
    <w:p>
      <w:pPr>
        <w:numPr>
          <w:ilvl w:val="0"/>
          <w:numId w:val="1010"/>
        </w:numPr>
        <w:pStyle w:val="Compact"/>
      </w:pPr>
      <w:r>
        <w:rPr>
          <w:bCs/>
          <w:b/>
        </w:rPr>
        <w:t xml:space="preserve">lnL_it</w:t>
      </w:r>
      <w:r>
        <w:t xml:space="preserve"> </w:t>
      </w:r>
      <w:r>
        <w:t xml:space="preserve">= ln(L)_it (quy mô),</w:t>
      </w:r>
      <w:r>
        <w:t xml:space="preserve"> </w:t>
      </w:r>
      <w:r>
        <w:rPr>
          <w:bCs/>
          <w:b/>
        </w:rPr>
        <w:t xml:space="preserve">Age_it</w:t>
      </w:r>
      <w:r>
        <w:t xml:space="preserve"> </w:t>
      </w:r>
      <w:r>
        <w:t xml:space="preserve">(tuổi),</w:t>
      </w:r>
      <w:r>
        <w:t xml:space="preserve"> </w:t>
      </w:r>
      <w:r>
        <w:rPr>
          <w:bCs/>
          <w:b/>
        </w:rPr>
        <w:t xml:space="preserve">Own_it</w:t>
      </w:r>
      <w:r>
        <w:t xml:space="preserve"> </w:t>
      </w:r>
      <w:r>
        <w:t xml:space="preserve">(sở hữu): biến kiểm soát, gộp trong vector</w:t>
      </w:r>
      <w:r>
        <w:t xml:space="preserve"> </w:t>
      </w:r>
      <w:r>
        <w:rPr>
          <w:bCs/>
          <w:b/>
        </w:rPr>
        <w:t xml:space="preserve">X</w:t>
      </w:r>
      <w:r>
        <w:t xml:space="preserve">_it</w:t>
      </w:r>
    </w:p>
    <w:p>
      <w:pPr>
        <w:numPr>
          <w:ilvl w:val="0"/>
          <w:numId w:val="1010"/>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r>
            <m:t> </m:t>
          </m:r>
          <m:sSub>
            <m:e>
              <m:r>
                <m:rPr>
                  <m:sty m:val="p"/>
                </m:rPr>
                <m:t>A</m:t>
              </m:r>
              <m:r>
                <m:rPr>
                  <m:sty m:val="p"/>
                </m:rPr>
                <m:t>g</m:t>
              </m:r>
              <m:r>
                <m:rPr>
                  <m:sty m:val="p"/>
                </m:rPr>
                <m:t>e</m:t>
              </m:r>
            </m:e>
            <m:sub>
              <m:r>
                <m:t>i</m:t>
              </m:r>
              <m:r>
                <m:t>t</m:t>
              </m:r>
            </m:sub>
          </m:sSub>
          <m:r>
            <m:rPr>
              <m:sty m:val="p"/>
            </m:rPr>
            <m:t>+</m:t>
          </m:r>
          <m:sSub>
            <m:e>
              <m:r>
                <m:t>γ</m:t>
              </m:r>
            </m:e>
            <m:sub>
              <m:r>
                <m:t>3</m:t>
              </m:r>
            </m:sub>
          </m:sSub>
          <m:r>
            <m:t> </m:t>
          </m:r>
          <m:sSub>
            <m:e>
              <m:r>
                <m:rPr>
                  <m:sty m:val="p"/>
                </m:rPr>
                <m:t>O</m:t>
              </m:r>
              <m:r>
                <m:rPr>
                  <m:sty m:val="p"/>
                </m:rPr>
                <m:t>w</m:t>
              </m:r>
              <m:r>
                <m:rPr>
                  <m:sty m:val="p"/>
                </m:rPr>
                <m:t>n</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đạt 49,4% (2012), 47,2% (2024), và 48,8% (pooled). Kiểm định ổn định cấu trúc: Paternoster et al. (1998) z-test:</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0</m:t>
        </m:r>
        <m:r>
          <m:rPr>
            <m:sty m:val="p"/>
          </m:rPr>
          <m:t>,</m:t>
        </m:r>
        <m:r>
          <m:t>82</m:t>
        </m:r>
      </m:oMath>
      <w:r>
        <w:t xml:space="preserve"> </w:t>
      </w:r>
      <w:r>
        <w:t xml:space="preserve">(</w:t>
      </w:r>
      <m:oMath>
        <m:r>
          <m:t>p</m:t>
        </m:r>
        <m:r>
          <m:rPr>
            <m:sty m:val="p"/>
          </m:rPr>
          <m:t>=</m:t>
        </m:r>
        <m:r>
          <m:t>0</m:t>
        </m:r>
        <m:r>
          <m:rPr>
            <m:sty m:val="p"/>
          </m:rPr>
          <m:t>,</m:t>
        </m:r>
        <m:r>
          <m:t>412</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0</m:t>
        </m:r>
        <m:r>
          <m:rPr>
            <m:sty m:val="p"/>
          </m:rPr>
          <m:t>,</m:t>
        </m:r>
        <m:r>
          <m:t>61</m:t>
        </m:r>
      </m:oMath>
      <w:r>
        <w:t xml:space="preserve"> </w:t>
      </w:r>
      <w:r>
        <w:t xml:space="preserve">(</w:t>
      </w:r>
      <m:oMath>
        <m:r>
          <m:t>p</m:t>
        </m:r>
        <m:r>
          <m:rPr>
            <m:sty m:val="p"/>
          </m:rPr>
          <m:t>=</m:t>
        </m:r>
        <m:r>
          <m:t>0</m:t>
        </m:r>
        <m:r>
          <m:rPr>
            <m:sty m:val="p"/>
          </m:rPr>
          <m:t>,</m:t>
        </m:r>
        <m:r>
          <m:t>545</m:t>
        </m:r>
      </m:oMath>
      <w:r>
        <w:t xml:space="preserve">), không bác bỏ bình đẳng hệ số giữa hai sóng.</w:t>
      </w:r>
    </w:p>
    <w:p>
      <w:pPr>
        <w:pStyle w:val="BodyText"/>
      </w:pPr>
      <w:r>
        <w:rPr>
          <w:bCs/>
          <w:b/>
        </w:rPr>
        <w:t xml:space="preserve">M3 (+ TCI trực tiếp, H2 nâng mặt bằng):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Kết quả:</w:t>
      </w:r>
      <w:r>
        <w:t xml:space="preserve"> </w:t>
      </w:r>
      <m:oMath>
        <m:sSub>
          <m:e>
            <m:r>
              <m:t>β</m:t>
            </m:r>
          </m:e>
          <m:sub>
            <m:r>
              <m:t>3</m:t>
            </m:r>
          </m:sub>
        </m:sSub>
        <m:r>
          <m:rPr>
            <m:sty m:val="p"/>
          </m:rPr>
          <m:t>=</m:t>
        </m:r>
        <m:r>
          <m:rPr>
            <m:sty m:val="p"/>
          </m:rPr>
          <m:t>+</m:t>
        </m:r>
        <m:r>
          <m:t>0</m:t>
        </m:r>
        <m:r>
          <m:rPr>
            <m:sty m:val="p"/>
          </m:rPr>
          <m:t>,</m:t>
        </m:r>
        <m:r>
          <m:t>28</m:t>
        </m:r>
      </m:oMath>
      <w:r>
        <w:t xml:space="preserve"> </w:t>
      </w:r>
      <w:r>
        <w:t xml:space="preserve">(2012,</w:t>
      </w:r>
      <w:r>
        <w:t xml:space="preserve"> </w:t>
      </w:r>
      <m:oMath>
        <m:r>
          <m:t>p</m:t>
        </m:r>
        <m:r>
          <m:rPr>
            <m:sty m:val="p"/>
          </m:rPr>
          <m:t>&lt;</m:t>
        </m:r>
        <m:r>
          <m:t>0</m:t>
        </m:r>
        <m:r>
          <m:rPr>
            <m:sty m:val="p"/>
          </m:rPr>
          <m:t>,</m:t>
        </m:r>
        <m:r>
          <m:t>001</m:t>
        </m:r>
      </m:oMath>
      <w:r>
        <w:t xml:space="preserve">),</w:t>
      </w:r>
      <w:r>
        <w:t xml:space="preserve"> </w:t>
      </w:r>
      <m:oMath>
        <m:r>
          <m:rPr>
            <m:sty m:val="p"/>
          </m:rPr>
          <m:t>+</m:t>
        </m:r>
        <m:r>
          <m:t>0</m:t>
        </m:r>
        <m:r>
          <m:rPr>
            <m:sty m:val="p"/>
          </m:rPr>
          <m:t>,</m:t>
        </m:r>
        <m:r>
          <m:t>43</m:t>
        </m:r>
      </m:oMath>
      <w:r>
        <w:t xml:space="preserve"> </w:t>
      </w:r>
      <w:r>
        <w:t xml:space="preserve">(2024,</w:t>
      </w:r>
      <w:r>
        <w:t xml:space="preserve"> </w:t>
      </w:r>
      <m:oMath>
        <m:r>
          <m:t>p</m:t>
        </m:r>
        <m:r>
          <m:rPr>
            <m:sty m:val="p"/>
          </m:rPr>
          <m:t>&lt;</m:t>
        </m:r>
        <m:r>
          <m:t>0</m:t>
        </m:r>
        <m:r>
          <m:rPr>
            <m:sty m:val="p"/>
          </m:rPr>
          <m:t>,</m:t>
        </m:r>
        <m:r>
          <m:t>001</m:t>
        </m:r>
      </m:oMath>
      <w:r>
        <w:t xml:space="preserve">); TCI là</w:t>
      </w:r>
      <w:r>
        <w:t xml:space="preserve"> </w:t>
      </w:r>
      <w:r>
        <w:t xml:space="preserve">“</w:t>
      </w:r>
      <w:r>
        <w:t xml:space="preserve">bộ nâng mặt bằng</w:t>
      </w:r>
      <w:r>
        <w:t xml:space="preserve">”</w:t>
      </w:r>
      <w:r>
        <w:t xml:space="preserve"> </w:t>
      </w:r>
      <w:r>
        <w:t xml:space="preserve">(level-shifter), không điều tiết độ cong.</w:t>
      </w:r>
    </w:p>
    <w:p>
      <w:pPr>
        <w:pStyle w:val="BodyText"/>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M5 (Kiểm định ổn định xuyên sóng, H2b):</w:t>
      </w:r>
      <w:r>
        <w:t xml:space="preserve"> </w:t>
      </w:r>
      <w:r>
        <w:t xml:space="preserve">Ước lượng M2 riêng biệt cho 2012 và 2024, sau đó áp dụng</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sSubSup>
                    <m:e>
                      <m:r>
                        <m:rPr>
                          <m:sty m:val="p"/>
                        </m:rPr>
                        <m:t>S</m:t>
                      </m:r>
                      <m:r>
                        <m:rPr>
                          <m:sty m:val="p"/>
                        </m:rPr>
                        <m:t>E</m:t>
                      </m:r>
                    </m:e>
                    <m:sub>
                      <m:r>
                        <m:t>1</m:t>
                      </m:r>
                      <m:r>
                        <m:rPr>
                          <m:sty m:val="p"/>
                        </m:rPr>
                        <m:t>,</m:t>
                      </m:r>
                      <m:r>
                        <m:t>2012</m:t>
                      </m:r>
                    </m:sub>
                    <m:sup>
                      <m:r>
                        <m:t>2</m:t>
                      </m:r>
                    </m:sup>
                  </m:sSubSup>
                  <m:r>
                    <m:rPr>
                      <m:sty m:val="p"/>
                    </m:rPr>
                    <m:t>+</m:t>
                  </m:r>
                  <m:sSubSup>
                    <m:e>
                      <m:r>
                        <m:rPr>
                          <m:sty m:val="p"/>
                        </m:rPr>
                        <m:t>S</m:t>
                      </m:r>
                      <m:r>
                        <m:rPr>
                          <m:sty m:val="p"/>
                        </m:rPr>
                        <m:t>E</m:t>
                      </m:r>
                    </m:e>
                    <m:sub>
                      <m:r>
                        <m:t>1</m:t>
                      </m:r>
                      <m:r>
                        <m:rPr>
                          <m:sty m:val="p"/>
                        </m:rPr>
                        <m:t>,</m:t>
                      </m:r>
                      <m:r>
                        <m:t>2024</m:t>
                      </m:r>
                    </m:sub>
                    <m:sup>
                      <m:r>
                        <m:t>2</m:t>
                      </m:r>
                    </m:sup>
                  </m:sSubSup>
                </m:e>
              </m:rad>
            </m:den>
          </m:f>
        </m:oMath>
      </m:oMathPara>
    </w:p>
    <w:p>
      <w:pPr>
        <w:pStyle w:val="FirstParagraph"/>
      </w:pPr>
      <w:r>
        <w:t xml:space="preserve">(Paternoster et al., 1998), tương tự cho</w:t>
      </w:r>
      <w:r>
        <w:t xml:space="preserve"> </w:t>
      </w:r>
      <m:oMath>
        <m:sSub>
          <m:e>
            <m:r>
              <m:t>β</m:t>
            </m:r>
          </m:e>
          <m:sub>
            <m:r>
              <m:t>2</m:t>
            </m:r>
          </m:sub>
        </m:sSub>
      </m:oMath>
      <w:r>
        <w:t xml:space="preserve"> </w:t>
      </w:r>
      <w:r>
        <w:t xml:space="preserve">(</w:t>
      </w:r>
      <m:oMath>
        <m:sSup>
          <m:e>
            <m:r>
              <m:rPr>
                <m:sty m:val="p"/>
              </m:rPr>
              <m:t>F</m:t>
            </m:r>
            <m:r>
              <m:rPr>
                <m:sty m:val="p"/>
              </m:rPr>
              <m:t>S</m:t>
            </m:r>
            <m:r>
              <m:rPr>
                <m:sty m:val="p"/>
              </m:rPr>
              <m:t>T</m:t>
            </m:r>
            <m:r>
              <m:rPr>
                <m:sty m:val="p"/>
              </m:rPr>
              <m:t>S</m:t>
            </m:r>
          </m:e>
          <m:sup>
            <m:r>
              <m:t>2</m:t>
            </m:r>
          </m:sup>
        </m:sSup>
      </m:oMath>
      <w:r>
        <w:t xml:space="preserve">).</w:t>
      </w:r>
    </w:p>
    <w:p>
      <w:pPr>
        <w:pStyle w:val="BodyText"/>
      </w:pPr>
      <w:r>
        <w:rPr>
          <w:bCs/>
          <w:b/>
        </w:rPr>
        <w:t xml:space="preserve">M6 (Điều tiết ba chiều, kiểm định H3/H4a/H4b):</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sSub>
                      <m:e>
                        <m:r>
                          <m:rPr>
                            <m:sty m:val="p"/>
                          </m:rPr>
                          <m:t>T</m:t>
                        </m:r>
                        <m:r>
                          <m:rPr>
                            <m:sty m:val="p"/>
                          </m:rPr>
                          <m:t>C</m:t>
                        </m:r>
                        <m:r>
                          <m:rPr>
                            <m:sty m:val="p"/>
                          </m:rPr>
                          <m:t>I</m:t>
                        </m:r>
                      </m:e>
                      <m:sub>
                        <m:r>
                          <m:t>z</m:t>
                        </m:r>
                        <m:r>
                          <m:rPr>
                            <m:sty m:val="p"/>
                          </m:rPr>
                          <m:t>,</m:t>
                        </m:r>
                        <m:r>
                          <m:t>i</m:t>
                        </m:r>
                        <m:r>
                          <m:t>t</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rPr>
                            <m:sty m:val="p"/>
                          </m:rPr>
                          <m:t>T</m:t>
                        </m:r>
                        <m:r>
                          <m:rPr>
                            <m:sty m:val="p"/>
                          </m:rPr>
                          <m:t>C</m:t>
                        </m:r>
                        <m:r>
                          <m:rPr>
                            <m:sty m:val="p"/>
                          </m:rPr>
                          <m:t>I</m:t>
                        </m:r>
                      </m:e>
                      <m:sub>
                        <m:r>
                          <m:t>z</m:t>
                        </m:r>
                        <m:r>
                          <m:rPr>
                            <m:sty m:val="p"/>
                          </m:rPr>
                          <m:t>,</m:t>
                        </m:r>
                        <m:r>
                          <m:t>i</m:t>
                        </m:r>
                        <m:r>
                          <m:t>t</m:t>
                        </m:r>
                      </m:sub>
                    </m:sSub>
                  </m:e>
                </m:d>
              </m:e>
            </m:mr>
            <m:mr>
              <m:e/>
              <m:e>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r>
                      <m:rPr>
                        <m:sty m:val="p"/>
                      </m:rPr>
                      <m:t>w</m:t>
                    </m:r>
                    <m:r>
                      <m:rPr>
                        <m:sty m:val="p"/>
                      </m:rPr>
                      <m:t>a</m:t>
                    </m:r>
                    <m:r>
                      <m:rPr>
                        <m:sty m:val="p"/>
                      </m:rPr>
                      <m:t>v</m:t>
                    </m:r>
                    <m:r>
                      <m:rPr>
                        <m:sty m:val="p"/>
                      </m:rPr>
                      <m:t>e</m:t>
                    </m:r>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p"/>
                      </m:rPr>
                      <m:t>w</m:t>
                    </m:r>
                    <m:r>
                      <m:rPr>
                        <m:sty m:val="p"/>
                      </m:rPr>
                      <m:t>a</m:t>
                    </m:r>
                    <m:r>
                      <m:rPr>
                        <m:sty m:val="p"/>
                      </m:rPr>
                      <m:t>v</m:t>
                    </m:r>
                    <m:r>
                      <m:rPr>
                        <m:sty m:val="p"/>
                      </m:rPr>
                      <m:t>e</m:t>
                    </m:r>
                  </m:e>
                </m:d>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e>
            </m:mr>
          </m:m>
        </m:oMath>
      </m:oMathPara>
    </w:p>
    <w:p>
      <w:pPr>
        <w:pStyle w:val="FirstParagraph"/>
      </w:pPr>
      <w:r>
        <w:t xml:space="preserve">F-tests: F1 (dịch chuyển độ cong xuyên sóng), F2 (điều tiết năng lực), F3 (dịch chuyển điều kiện). Kết quả:</w:t>
      </w:r>
      <w:r>
        <w:t xml:space="preserve"> </w:t>
      </w:r>
      <m:oMath>
        <m:sSub>
          <m:e>
            <m:r>
              <m:t>F</m:t>
            </m:r>
          </m:e>
          <m:sub>
            <m:r>
              <m:t>2</m:t>
            </m:r>
          </m:sub>
        </m:sSub>
        <m:r>
          <m:rPr>
            <m:sty m:val="p"/>
          </m:rPr>
          <m:t>=</m:t>
        </m:r>
        <m:r>
          <m:t>3</m:t>
        </m:r>
        <m:r>
          <m:rPr>
            <m:sty m:val="p"/>
          </m:rPr>
          <m:t>,</m:t>
        </m:r>
        <m:r>
          <m:t>26</m:t>
        </m:r>
      </m:oMath>
      <w:r>
        <w:t xml:space="preserve"> </w:t>
      </w:r>
      <w:r>
        <w:t xml:space="preserve">(</w:t>
      </w:r>
      <m:oMath>
        <m:r>
          <m:t>p</m:t>
        </m:r>
        <m:r>
          <m:rPr>
            <m:sty m:val="p"/>
          </m:rPr>
          <m:t>=</m:t>
        </m:r>
        <m:r>
          <m:t>0</m:t>
        </m:r>
        <m:r>
          <m:rPr>
            <m:sty m:val="p"/>
          </m:rPr>
          <m:t>,</m:t>
        </m:r>
        <m:r>
          <m:t>039</m:t>
        </m:r>
      </m:oMath>
      <w:r>
        <w:t xml:space="preserve">, không qua Bonferroni</w:t>
      </w:r>
      <w:r>
        <w:t xml:space="preserve"> </w:t>
      </w:r>
      <m:oMath>
        <m:sSup>
          <m:e>
            <m:r>
              <m:t>α</m:t>
            </m:r>
          </m:e>
          <m:sup>
            <m:r>
              <m:rPr>
                <m:sty m:val="p"/>
              </m:rPr>
              <m:t>*</m:t>
            </m:r>
          </m:sup>
        </m:sSup>
        <m:r>
          <m:rPr>
            <m:sty m:val="p"/>
          </m:rPr>
          <m:t>=</m:t>
        </m:r>
        <m:r>
          <m:t>0</m:t>
        </m:r>
        <m:r>
          <m:rPr>
            <m:sty m:val="p"/>
          </m:rPr>
          <m:t>,</m:t>
        </m:r>
        <m:r>
          <m:t>017</m:t>
        </m:r>
      </m:oMath>
      <w:r>
        <w:t xml:space="preserve">), do đó H4b (không có điều tiết độ cong theo năng lực) được chấp nhận.</w:t>
      </w:r>
    </w:p>
    <w:p>
      <w:pPr>
        <w:pStyle w:val="BodyText"/>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Phi tuyến (H1)</w:t>
            </w:r>
          </w:p>
        </w:tc>
      </w:tr>
      <w:tr>
        <w:tc>
          <w:tcPr/>
          <w:p>
            <w:pPr>
              <w:pStyle w:val="Compact"/>
              <w:jc w:val="left"/>
            </w:pPr>
            <w:r>
              <w:t xml:space="preserve">TCI_z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c22b₀₁:</w:t>
            </w:r>
            <w:r>
              <w:t xml:space="preserve"> </w:t>
            </w:r>
            <w:r>
              <w:rPr>
                <w:bCs/>
                <w:b/>
              </w:rPr>
              <w:t xml:space="preserve">Bậc 1 đơn biến</w:t>
            </w:r>
            <w:r>
              <w:t xml:space="preserve"> </w:t>
            </w:r>
            <w:r>
              <w:t xml:space="preserve">(binary)</w:t>
            </w:r>
          </w:p>
        </w:tc>
        <w:tc>
          <w:tcPr/>
          <w:p>
            <w:pPr>
              <w:pStyle w:val="Compact"/>
              <w:jc w:val="left"/>
            </w:pPr>
            <w:r>
              <w:t xml:space="preserve">Số hoá Bậc 1 mỏng (kiểm soát)</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lõi panel</w:t>
      </w:r>
      <w:r>
        <w:rPr>
          <w:iCs/>
          <w:i/>
        </w:rPr>
        <w:t xml:space="preserve">”</w:t>
      </w:r>
      <w:r>
        <w:rPr>
          <w:iCs/>
          <w:i/>
        </w:rPr>
        <w:t xml:space="preserve">) tạo thêm nhận dạng biến thiên trong mẫu trong khi sai số chuẩn gom cụm theo idstd xử lý tương quan nội nhóm. DAI Trung Quốc chỉ là Bậc 1 đơn biến, không đủ để kiểm định CDCM; hàm ý chính sách và lý thuyết khác với P4 Singapore (Bậc 1 và 2).</w:t>
      </w:r>
    </w:p>
    <w:p>
      <w:r>
        <w:pict>
          <v:rect style="width:0;height:1.5pt" o:hralign="center" o:hrstd="t" o:hr="t"/>
        </w:pict>
      </w:r>
    </w:p>
    <w:bookmarkEnd w:id="125"/>
    <w:bookmarkStart w:id="128"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biến:</w:t>
      </w:r>
    </w:p>
    <w:p>
      <w:pPr>
        <w:numPr>
          <w:ilvl w:val="0"/>
          <w:numId w:val="1011"/>
        </w:numPr>
        <w:pStyle w:val="Compact"/>
      </w:pPr>
      <w:r>
        <w:rPr>
          <w:bCs/>
          <w:b/>
        </w:rPr>
        <w:t xml:space="preserve">lnLP_it</w:t>
      </w:r>
      <w:r>
        <w:t xml:space="preserve">: ln(năng suất lao động) = ln(doanh thu / lao động thường trực), biến phụ thuộc</w:t>
      </w:r>
    </w:p>
    <w:p>
      <w:pPr>
        <w:numPr>
          <w:ilvl w:val="0"/>
          <w:numId w:val="1011"/>
        </w:numPr>
        <w:pStyle w:val="Compact"/>
      </w:pPr>
      <w:r>
        <w:rPr>
          <w:bCs/>
          <w:b/>
        </w:rPr>
        <w:t xml:space="preserve">FSTS_c_it</w:t>
      </w:r>
      <w:r>
        <w:t xml:space="preserve">: cường độ xuất khẩu mean-centred, FSTS_c = (d3c/100) − mean_pool(FSTS)</w:t>
      </w:r>
    </w:p>
    <w:p>
      <w:pPr>
        <w:numPr>
          <w:ilvl w:val="0"/>
          <w:numId w:val="1011"/>
        </w:numPr>
        <w:pStyle w:val="Compact"/>
      </w:pPr>
      <w:r>
        <w:rPr>
          <w:bCs/>
          <w:b/>
        </w:rPr>
        <w:t xml:space="preserve">FSTS_c²_it</w:t>
      </w:r>
      <w:r>
        <w:t xml:space="preserve">: FSTS_c bình phương, kiểm định phi tuyến</w:t>
      </w:r>
    </w:p>
    <w:p>
      <w:pPr>
        <w:numPr>
          <w:ilvl w:val="0"/>
          <w:numId w:val="1011"/>
        </w:numPr>
        <w:pStyle w:val="Compact"/>
      </w:pPr>
      <w:r>
        <w:rPr>
          <w:bCs/>
          <w:b/>
        </w:rPr>
        <w:t xml:space="preserve">TCI_z_it</w:t>
      </w:r>
      <w:r>
        <w:t xml:space="preserve">: năng lực công nghệ z-standardised, TCI_z = chuẩn hóa z(b8, e6)</w:t>
      </w:r>
    </w:p>
    <w:p>
      <w:pPr>
        <w:numPr>
          <w:ilvl w:val="0"/>
          <w:numId w:val="1011"/>
        </w:numPr>
        <w:pStyle w:val="Compact"/>
      </w:pPr>
      <w:r>
        <w:rPr>
          <w:bCs/>
          <w:b/>
        </w:rPr>
        <w:t xml:space="preserve">DAI_z_it</w:t>
      </w:r>
      <w:r>
        <w:t xml:space="preserve">: chỉ số số hoá z-standardised, DAI_z = chuẩn hóa z(website + e-pay, Bậc 1 và 2: c22b/e1, k33)</w:t>
      </w:r>
    </w:p>
    <w:p>
      <w:pPr>
        <w:numPr>
          <w:ilvl w:val="0"/>
          <w:numId w:val="1011"/>
        </w:numPr>
        <w:pStyle w:val="Compact"/>
      </w:pPr>
      <w:r>
        <w:rPr>
          <w:bCs/>
          <w:b/>
        </w:rPr>
        <w:t xml:space="preserve">MgrExp_it</w:t>
      </w:r>
      <w:r>
        <w:t xml:space="preserve">: kinh nghiệm nhà quản lý trong ngành (năm, b7)</w:t>
      </w:r>
    </w:p>
    <w:p>
      <w:pPr>
        <w:numPr>
          <w:ilvl w:val="0"/>
          <w:numId w:val="1011"/>
        </w:numPr>
        <w:pStyle w:val="Compact"/>
      </w:pPr>
      <w:r>
        <w:rPr>
          <w:bCs/>
          <w:b/>
        </w:rPr>
        <w:t xml:space="preserve">MgrFem_it</w:t>
      </w:r>
      <w:r>
        <w:t xml:space="preserve">: top manager là nữ (binary, b7a/b6a)</w:t>
      </w:r>
    </w:p>
    <w:p>
      <w:pPr>
        <w:numPr>
          <w:ilvl w:val="0"/>
          <w:numId w:val="1011"/>
        </w:numPr>
        <w:pStyle w:val="Compact"/>
      </w:pPr>
      <w:r>
        <w:rPr>
          <w:bCs/>
          <w:b/>
        </w:rPr>
        <w:t xml:space="preserve">ICRV_j</w:t>
      </w:r>
      <w:r>
        <w:t xml:space="preserve">: phân loại chế độ thể chế ICRV (integer 1–6, Advanced sang SIDS)</w:t>
      </w:r>
    </w:p>
    <w:p>
      <w:pPr>
        <w:numPr>
          <w:ilvl w:val="0"/>
          <w:numId w:val="1011"/>
        </w:numPr>
        <w:pStyle w:val="Compact"/>
      </w:pPr>
      <w:r>
        <w:rPr>
          <w:bCs/>
          <w:b/>
        </w:rPr>
        <w:t xml:space="preserve">lnL_it</w:t>
      </w:r>
      <w:r>
        <w:t xml:space="preserve">: ln(lao động thường trực), kiểm soát quy mô doanh nghiệp</w:t>
      </w:r>
    </w:p>
    <w:p>
      <w:pPr>
        <w:numPr>
          <w:ilvl w:val="0"/>
          <w:numId w:val="1011"/>
        </w:numPr>
        <w:pStyle w:val="Compact"/>
      </w:pPr>
      <w:r>
        <w:rPr>
          <w:bCs/>
          <w:b/>
        </w:rPr>
        <w:t xml:space="preserve">Age_it</w:t>
      </w:r>
      <w:r>
        <w:t xml:space="preserve">: tuổi doanh nghiệp (năm_khảo_sát − b5)</w:t>
      </w:r>
    </w:p>
    <w:p>
      <w:pPr>
        <w:numPr>
          <w:ilvl w:val="0"/>
          <w:numId w:val="1011"/>
        </w:numPr>
        <w:pStyle w:val="Compact"/>
      </w:pPr>
      <w:r>
        <w:rPr>
          <w:bCs/>
          <w:b/>
        </w:rPr>
        <w:t xml:space="preserve">Own_it</w:t>
      </w:r>
      <w:r>
        <w:t xml:space="preserve">: tỷ lệ sở hữu nước ngoài (b6a/100)</w:t>
      </w:r>
    </w:p>
    <w:p>
      <w:pPr>
        <w:numPr>
          <w:ilvl w:val="0"/>
          <w:numId w:val="1011"/>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(mô hình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ε</m:t>
              </m:r>
            </m:e>
            <m:sub>
              <m:r>
                <m:t>i</m:t>
              </m:r>
              <m:r>
                <m:t>t</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rPr>
              <m:sty m:val="p"/>
            </m:rPr>
            <m:t>T</m:t>
          </m:r>
          <m:r>
            <m:rPr>
              <m:sty m:val="p"/>
            </m:rP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rPr>
              <m:sty m:val="p"/>
            </m:rPr>
            <m:t>T</m:t>
          </m:r>
          <m:r>
            <m:rPr>
              <m:sty m:val="p"/>
            </m:rP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TCI, kiểm định H2):</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oMath>
      </m:oMathPara>
    </w:p>
    <w:p>
      <w:pPr>
        <w:pStyle w:val="FirstParagraph"/>
      </w:pPr>
      <m:oMathPara>
        <m:oMathParaPr>
          <m:jc m:val="center"/>
        </m:oMathParaPr>
        <m:oMath>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M8</w:t>
      </w:r>
      <w:r>
        <w:t xml:space="preserve"> </w:t>
      </w:r>
      <w:r>
        <w:t xml:space="preserve">(M7 + điều tiết DAI, kiểm định H3):</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sSub>
            <m:e>
              <m:r>
                <m:t>β</m:t>
              </m:r>
            </m:e>
            <m:sub>
              <m:r>
                <m:t>11</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M</m:t>
              </m:r>
              <m:r>
                <m:rPr>
                  <m:sty m:val="p"/>
                </m:rPr>
                <m:t>g</m:t>
              </m:r>
              <m:r>
                <m:rPr>
                  <m:sty m:val="p"/>
                </m:rPr>
                <m:t>r</m:t>
              </m:r>
              <m:r>
                <m:rPr>
                  <m:sty m:val="p"/>
                </m:rPr>
                <m:t>E</m:t>
              </m:r>
              <m:r>
                <m:rPr>
                  <m:sty m:val="p"/>
                </m:rPr>
                <m:t>x</m:t>
              </m:r>
              <m:r>
                <m:rPr>
                  <m:sty m:val="p"/>
                </m:rPr>
                <m:t>p</m:t>
              </m:r>
            </m:e>
          </m:d>
          <m:r>
            <m:rPr>
              <m:sty m:val="p"/>
            </m:rPr>
            <m:t>+</m:t>
          </m:r>
          <m:r>
            <m:rPr>
              <m:sty m:val="b"/>
            </m:rPr>
            <m:t>γ</m:t>
          </m:r>
          <m:r>
            <m:rPr>
              <m:sty m:val="b"/>
            </m:rP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nor/>
              <m:sty m:val="p"/>
            </m:rPr>
            <m:t> (nữ quản lý cấp cao: hệ số mức âm;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11</m:t>
              </m:r>
            </m:sub>
          </m:sSub>
          <m:sSub>
            <m:e>
              <m:r>
                <m:rPr>
                  <m:sty m:val="p"/>
                </m:rPr>
                <m:t>I</m:t>
              </m:r>
              <m:r>
                <m:rPr>
                  <m:sty m:val="p"/>
                </m:rPr>
                <m:t>C</m:t>
              </m:r>
              <m:r>
                <m:rPr>
                  <m:sty m:val="p"/>
                </m:rPr>
                <m:t>R</m:t>
              </m:r>
              <m:r>
                <m:rPr>
                  <m:sty m:val="p"/>
                </m:rP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rPr>
                        <m:sty m:val="p"/>
                      </m:rPr>
                      <m:t>T</m:t>
                    </m:r>
                    <m:r>
                      <m:rPr>
                        <m:sty m:val="p"/>
                      </m:rP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r>
            <m:rPr>
              <m:sty m:val="p"/>
            </m:rPr>
            <m:t>+</m:t>
          </m:r>
          <m:sSub>
            <m:e>
              <m:r>
                <m:t>β</m:t>
              </m:r>
            </m:e>
            <m:sub>
              <m:r>
                <m:t>11</m:t>
              </m:r>
            </m:sub>
          </m:sSub>
          <m:r>
            <m:rPr>
              <m:sty m:val="p"/>
            </m:rPr>
            <m:t>I</m:t>
          </m:r>
          <m:r>
            <m:rPr>
              <m:sty m:val="p"/>
            </m:rPr>
            <m:t>C</m:t>
          </m:r>
          <m:r>
            <m:rPr>
              <m:sty m:val="p"/>
            </m:rPr>
            <m:t>R</m:t>
          </m:r>
          <m:r>
            <m:rPr>
              <m:sty m:val="p"/>
            </m:rPr>
            <m:t>V</m:t>
          </m:r>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r>
                <m:rPr>
                  <m:sty m:val="p"/>
                </m:rPr>
                <m:t>×</m:t>
              </m:r>
              <m:r>
                <m:rPr>
                  <m:sty m:val="p"/>
                </m:rPr>
                <m:t>I</m:t>
              </m:r>
              <m:r>
                <m:rPr>
                  <m:sty m:val="p"/>
                </m:rPr>
                <m:t>C</m:t>
              </m:r>
              <m:r>
                <m:rPr>
                  <m:sty m:val="p"/>
                </m:rPr>
                <m:t>R</m:t>
              </m:r>
              <m:r>
                <m:rPr>
                  <m:sty m:val="p"/>
                </m:rPr>
                <m:t>V</m:t>
              </m:r>
            </m:e>
          </m:d>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r>
            <m:rPr>
              <m:sty m:val="b"/>
            </m:rPr>
            <m:t>γ</m:t>
          </m:r>
          <m:r>
            <m:rPr>
              <m:sty m:val="b"/>
            </m:rP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m:t>
                </m:r>
                <m:r>
                  <m:rPr>
                    <m:sty m:val="p"/>
                  </m:rPr>
                  <m:t>F</m:t>
                </m:r>
                <m:r>
                  <m:rPr>
                    <m:sty m:val="p"/>
                  </m:rPr>
                  <m:t>S</m:t>
                </m:r>
                <m:r>
                  <m:rPr>
                    <m:sty m:val="p"/>
                  </m:rPr>
                  <m:t>T</m:t>
                </m:r>
                <m:r>
                  <m:rPr>
                    <m:sty m:val="p"/>
                  </m:rPr>
                  <m: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rPr>
                    <m:sty m:val="p"/>
                  </m:rPr>
                  <m:t>T</m:t>
                </m:r>
                <m:r>
                  <m:rPr>
                    <m:sty m:val="p"/>
                  </m:rP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c22b/e1, k33</w:t>
            </w:r>
          </w:p>
        </w:tc>
        <w:tc>
          <w:tcPr/>
          <w:p>
            <w:pPr>
              <w:pStyle w:val="Compact"/>
              <w:jc w:val="left"/>
            </w:pPr>
            <w:r>
              <w:t xml:space="preserve">chuẩn hóa z(website + thanh toán điện tử): Bậc 1 và 2</w:t>
            </w:r>
          </w:p>
        </w:tc>
        <w:tc>
          <w:tcPr/>
          <w:p>
            <w:pPr>
              <w:pStyle w:val="Compact"/>
              <w:jc w:val="left"/>
            </w:pPr>
            <w:r>
              <w:t xml:space="preserve">Số hoá (DAI)</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Bậc 1 và 2 khi k33 có mặt, Bậc 1 only khi thiếu, khác với P3 Vietnam (chỉ Bậc 1) và đồng nhất với P4 Singapore (Bậc 1 và 2). ICRV là biến điều tiết liên tục (integer), không phải dummies, nhằm giữ N đủ lớn trong M10–M11.</w:t>
      </w:r>
    </w:p>
    <w:p>
      <w:r>
        <w:pict>
          <v:rect style="width:0;height:1.5pt" o:hralign="center" o:hrstd="t" o:hr="t"/>
        </w:pict>
      </w:r>
    </w:p>
    <w:bookmarkStart w:id="126" w:name="X95586c41a60b4b828f7adafd474d02ef9cccc41"/>
    <w:p>
      <w:pPr>
        <w:pStyle w:val="Heading4"/>
      </w:pPr>
      <w:r>
        <w:t xml:space="preserve">3.4.5.5 Mô hình cụ thể: Nghiên cứu 8: đảo nhỏ Thái Bình Dương (N = 1.450, Nhóm VI)</w:t>
      </w:r>
    </w:p>
    <w:p>
      <w:pPr>
        <w:pStyle w:val="FirstParagraph"/>
      </w:pPr>
      <w:r>
        <w:t xml:space="preserve">Nghiên cứu 8 phân tích mẫu gồm</w:t>
      </w:r>
      <w:r>
        <w:t xml:space="preserve"> </w:t>
      </w:r>
      <w:r>
        <w:rPr>
          <w:bCs/>
          <w:b/>
        </w:rPr>
        <w:t xml:space="preserve">N = 1.450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212 doanh nghiệp có hoạt động xuất khẩu</w:t>
      </w:r>
      <w:r>
        <w:t xml:space="preserve"> </w:t>
      </w:r>
      <w:r>
        <w:t xml:space="preserve">(14,6%),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Tại Nhóm VI, dạng hình chữ U ngược</w:t>
      </w:r>
      <w:r>
        <w:t xml:space="preserve"> </w:t>
      </w:r>
      <w:r>
        <w:rPr>
          <w:bCs/>
          <w:b/>
        </w:rPr>
        <w:t xml:space="preserve">mất cấu trúc</w:t>
      </w:r>
      <w:r>
        <w:t xml:space="preserve">: trên mẫu đầy đủ bảy nền (N = 1.450), cả số hạng tuyến tính lẫn bậc hai đều mất ý nghĩa khi đưa vào đồng thời và cả bốn điều kiện cần của một đường cong chữ U ngược đều thất bại (xem Chương 4, Mục 4.7.2 và 4.7.6), nên quan hệ là</w:t>
      </w:r>
      <w:r>
        <w:t xml:space="preserve"> </w:t>
      </w:r>
      <w:r>
        <w:rPr>
          <w:bCs/>
          <w:b/>
        </w:rPr>
        <w:t xml:space="preserve">đơn điệu âm về xu hướng</w:t>
      </w:r>
      <w:r>
        <w:t xml:space="preserve">, không có điểm quay nội miền, trái ngược với hình chữ U ngược ở P3–P7. Hệ số FIP âm</w:t>
      </w:r>
      <w:r>
        <w:t xml:space="preserve"> </w:t>
      </w:r>
      <w:r>
        <w:rPr>
          <w:bCs/>
          <w:b/>
        </w:rPr>
        <w:t xml:space="preserve">mạnh, có ý nghĩa</w:t>
      </w:r>
      <w:r>
        <w:t xml:space="preserve"> </w:t>
      </w:r>
      <w:r>
        <w:t xml:space="preserve">(</w:t>
      </w:r>
      <m:oMath>
        <m:sSub>
          <m:e>
            <m:r>
              <m:t>β</m:t>
            </m:r>
          </m:e>
          <m:sub>
            <m:r>
              <m:t>1</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ghi nhận trên</w:t>
      </w:r>
      <w:r>
        <w:t xml:space="preserve"> </w:t>
      </w:r>
      <w:r>
        <w:rPr>
          <w:bCs/>
          <w:b/>
        </w:rPr>
        <w:t xml:space="preserve">phiên bản dữ liệu gốc / bản dựng hạn chế</w:t>
      </w:r>
      <w:r>
        <w:t xml:space="preserve"> </w:t>
      </w:r>
      <w:r>
        <w:t xml:space="preserve">(N = 959; lõi ba nền có đủ kiểm soát đợt trước 2018: N = 209) và được trình bày như bằng chứng độ vững nội bộ ở Chương 4 (Mục 4.7.7–4.7.8).</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lnLP</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nội tệ / lao động thường trực)</w:t>
            </w:r>
          </w:p>
        </w:tc>
      </w:tr>
      <w:tr>
        <w:tc>
          <w:tcPr/>
          <w:p>
            <w:pPr>
              <w:pStyle w:val="Compact"/>
              <w:jc w:val="left"/>
            </w:pPr>
            <w:r>
              <w:t xml:space="preserve">FSTS_c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FSTS_c²</w:t>
            </w:r>
          </w:p>
        </w:tc>
        <w:tc>
          <w:tcPr/>
          <w:p>
            <w:pPr>
              <w:pStyle w:val="Compact"/>
              <w:jc w:val="left"/>
            </w:pPr>
            <w:r>
              <w:t xml:space="preserve">FSTS_c bình phương</w:t>
            </w:r>
          </w:p>
        </w:tc>
        <w:tc>
          <w:tcPr/>
          <w:p>
            <w:pPr>
              <w:pStyle w:val="Compact"/>
              <w:jc w:val="left"/>
            </w:pPr>
            <w:r>
              <w:t xml:space="preserve">d3c</w:t>
            </w:r>
          </w:p>
        </w:tc>
        <w:tc>
          <w:tcPr/>
          <w:p>
            <w:pPr>
              <w:pStyle w:val="Compact"/>
              <w:jc w:val="left"/>
            </w:pPr>
            <w:r>
              <w:t xml:space="preserve">FSTS_c × FSTS_c</w:t>
            </w:r>
          </w:p>
        </w:tc>
      </w:tr>
      <w:tr>
        <w:tc>
          <w:tcPr/>
          <w:p>
            <w:pPr>
              <w:pStyle w:val="Compact"/>
              <w:jc w:val="left"/>
            </w:pPr>
            <w:r>
              <w:t xml:space="preserve">TCI_z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DAI_z</w:t>
            </w:r>
          </w:p>
        </w:tc>
        <w:tc>
          <w:tcPr/>
          <w:p>
            <w:pPr>
              <w:pStyle w:val="Compact"/>
              <w:jc w:val="left"/>
            </w:pPr>
            <w:r>
              <w:t xml:space="preserve">Chỉ số số hoá (Bậc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Bậc 1, không dynamic</w:t>
            </w:r>
          </w:p>
        </w:tc>
      </w:tr>
      <w:tr>
        <w:tc>
          <w:tcPr/>
          <w:p>
            <w:pPr>
              <w:pStyle w:val="Compact"/>
              <w:jc w:val="left"/>
            </w:pPr>
            <w:r>
              <w:t xml:space="preserve">lnL</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Age</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Own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DAI là biến đại diện tĩnh Bậc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phiên bản dữ liệu gốc, </m:t>
              </m:r>
              <m:r>
                <m:t>N</m:t>
              </m:r>
              <m:r>
                <m:rPr>
                  <m:sty m:val="p"/>
                </m:rPr>
                <m:t>=</m:t>
              </m:r>
              <m:r>
                <m:t>959</m:t>
              </m:r>
            </m:e>
          </m:d>
          <m:r>
            <m:rPr>
              <m:sty m:val="p"/>
            </m:rPr>
            <m:t>⇒</m:t>
          </m:r>
          <m:r>
            <m:rPr>
              <m:nor/>
              <m:sty m:val="b"/>
            </m:rPr>
            <m:t>FIP (bản dựng gốc)</m:t>
          </m:r>
        </m:oMath>
      </m:oMathPara>
    </w:p>
    <w:p>
      <w:pPr>
        <w:pStyle w:val="FirstParagraph"/>
      </w:pPr>
      <w:r>
        <w:t xml:space="preserve">M2, Kiểm định phi tuyến: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sSub>
                  <m:e>
                    <m:r>
                      <m:rPr>
                        <m:sty m:val="p"/>
                      </m:rPr>
                      <m:t>T</m:t>
                    </m:r>
                    <m:r>
                      <m:rPr>
                        <m:sty m:val="p"/>
                      </m:rPr>
                      <m:t>C</m:t>
                    </m:r>
                    <m:r>
                      <m:rPr>
                        <m:sty m:val="p"/>
                      </m:rPr>
                      <m:t>I</m:t>
                    </m:r>
                  </m:e>
                  <m:sub>
                    <m:r>
                      <m:t>z</m:t>
                    </m:r>
                    <m:r>
                      <m:rPr>
                        <m:sty m:val="p"/>
                      </m:rPr>
                      <m:t>,</m:t>
                    </m:r>
                    <m:r>
                      <m:t>i</m:t>
                    </m:r>
                    <m:r>
                      <m:t>t</m:t>
                    </m:r>
                  </m:sub>
                </m:sSub>
              </m:e>
            </m:mr>
            <m:mr>
              <m:e/>
              <m:e>
                <m:r>
                  <m:rPr>
                    <m:sty m:val="p"/>
                  </m:rPr>
                  <m:t>+</m:t>
                </m:r>
                <m:sSub>
                  <m:e>
                    <m:r>
                      <m:t>β</m:t>
                    </m:r>
                  </m:e>
                  <m:sub>
                    <m:r>
                      <m:t>4</m:t>
                    </m:r>
                  </m:sub>
                </m:sSub>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m:oMath>
              <m:r>
                <m:t>β</m:t>
              </m:r>
              <m:d>
                <m:dPr>
                  <m:begChr m:val="("/>
                  <m:endChr m:val=")"/>
                  <m:sepChr m:val=""/>
                  <m:grow/>
                </m:dPr>
                <m:e>
                  <m:sSub>
                    <m:e>
                      <m:r>
                        <m:rPr>
                          <m:sty m:val="p"/>
                        </m:rPr>
                        <m:t>F</m:t>
                      </m:r>
                      <m:r>
                        <m:rPr>
                          <m:sty m:val="p"/>
                        </m:rPr>
                        <m:t>S</m:t>
                      </m:r>
                      <m:r>
                        <m:rPr>
                          <m:sty m:val="p"/>
                        </m:rPr>
                        <m:t>T</m:t>
                      </m:r>
                      <m:r>
                        <m:rPr>
                          <m:sty m:val="p"/>
                        </m:rPr>
                        <m:t>S</m:t>
                      </m:r>
                    </m:e>
                    <m:sub>
                      <m:r>
                        <m:t>c</m:t>
                      </m:r>
                    </m:sub>
                  </m:sSub>
                </m:e>
              </m:d>
            </m:oMath>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m:oMath>
              <m:r>
                <m:rPr>
                  <m:sty m:val="p"/>
                </m:rPr>
                <m:t>−</m:t>
              </m:r>
              <m:r>
                <m:t>1</m:t>
              </m:r>
              <m:r>
                <m:rPr>
                  <m:sty m:val="p"/>
                </m:rPr>
                <m:t>,</m:t>
              </m:r>
              <m:r>
                <m:t>339</m:t>
              </m:r>
            </m:oMath>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m:oMath>
              <m:r>
                <m:rPr>
                  <m:sty m:val="p"/>
                </m:rPr>
                <m:t>−</m:t>
              </m:r>
              <m:r>
                <m:t>3</m:t>
              </m:r>
              <m:r>
                <m:rPr>
                  <m:sty m:val="p"/>
                </m:rPr>
                <m:t>,</m:t>
              </m:r>
              <m:r>
                <m:t>351</m:t>
              </m:r>
            </m:oMath>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m:oMath>
              <m:r>
                <m:rPr>
                  <m:sty m:val="p"/>
                </m:rPr>
                <m:t>−</m:t>
              </m:r>
              <m:r>
                <m:t>0</m:t>
              </m:r>
              <m:r>
                <m:rPr>
                  <m:sty m:val="p"/>
                </m:rPr>
                <m:t>,</m:t>
              </m:r>
              <m:r>
                <m:t>864</m:t>
              </m:r>
            </m:oMath>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m:oMath>
              <m:r>
                <m:rPr>
                  <m:sty m:val="p"/>
                </m:rPr>
                <m:t>−</m:t>
              </m:r>
              <m:r>
                <m:t>1</m:t>
              </m:r>
              <m:r>
                <m:rPr>
                  <m:sty m:val="p"/>
                </m:rPr>
                <m:t>,</m:t>
              </m:r>
              <m:r>
                <m:t>176</m:t>
              </m:r>
            </m:oMath>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Bảng độ vững trên thuộc</w:t>
      </w:r>
      <w:r>
        <w:rPr>
          <w:iCs/>
          <w:i/>
        </w:rPr>
        <w:t xml:space="preserve"> </w:t>
      </w:r>
      <w:r>
        <w:rPr>
          <w:bCs/>
          <w:b/>
          <w:iCs/>
          <w:i/>
        </w:rPr>
        <w:t xml:space="preserve">phiên bản dữ liệu gốc</w:t>
      </w:r>
      <w:r>
        <w:rPr>
          <w:iCs/>
          <w:i/>
        </w:rPr>
        <w:t xml:space="preserve"> </w:t>
      </w:r>
      <w:r>
        <w:rPr>
          <w:iCs/>
          <w:i/>
        </w:rPr>
        <w:t xml:space="preserve">(N = 959); hệ số âm nhất quán về dấu qua các mô hình, suy luận FIP dựa chủ yếu vào các mô hình hiệu ứng cố định (M1, year-FE), trong khi chỉ doanh nghiệp xuất khẩu (N = 26) thiếu công suất thống kê. Trên mẫu đầy đủ bảy nền (N = 1.450), dạng đơn điệu âm vẫn là xu hướng nhưng các số hạng mất ý nghĩa thống kê khi đưa vào đồng thời (Chương 4, Mục 4.7.2).</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ln(doanh thu nội tệ / lao động)</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kiểm định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chuẩn hóa z(website binary): Bậc 1 only</w:t>
            </w:r>
          </w:p>
        </w:tc>
        <w:tc>
          <w:tcPr/>
          <w:p>
            <w:pPr>
              <w:pStyle w:val="Compact"/>
              <w:jc w:val="left"/>
            </w:pPr>
            <w:r>
              <w:t xml:space="preserve">Số hoá, biến đại diện tĩnh</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Bậc 1 only, WBES không thu thập thang đo đầy đủ cho số hoá động tại SIDS.</w:t>
      </w:r>
    </w:p>
    <w:p>
      <w:r>
        <w:pict>
          <v:rect style="width:0;height:1.5pt" o:hralign="center" o:hrstd="t" o:hr="t"/>
        </w:pict>
      </w:r>
    </w:p>
    <w:bookmarkEnd w:id="126"/>
    <w:bookmarkStart w:id="127"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mô hình gộp ba đợt với biến giả/xu thế đợt khảo sát làm kiểm định độ vững. Việc UPI ra mắt tháng 4/2016 cung cấp thí nghiệm gần tự nhiên cho bão hòa DAI; riêng đợt 2025 (BREADY) bổ sung chỉ báo Bậc 2 (</w:t>
      </w:r>
      <w:r>
        <w:rPr>
          <w:rStyle w:val="VerbatimChar"/>
        </w:rPr>
        <w:t xml:space="preserve">k33</w:t>
      </w:r>
      <w:r>
        <w:t xml:space="preserve">, tỷ trọng doanh thu qua thanh toán điện tử) cho phép kiểm định điều tiết DAI Bậc 2, được xử lý như phân tích thăm dò vì chỉ có ở một đợt.</w:t>
      </w:r>
    </w:p>
    <w:bookmarkEnd w:id="127"/>
    <w:bookmarkEnd w:id="128"/>
    <w:bookmarkStart w:id="129"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29"/>
    <w:bookmarkStart w:id="130"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mô hình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30"/>
    <w:bookmarkEnd w:id="131"/>
    <w:bookmarkStart w:id="143" w:name="kiểm-định-độ-vững"/>
    <w:p>
      <w:pPr>
        <w:pStyle w:val="Heading2"/>
      </w:pPr>
      <w:r>
        <w:t xml:space="preserve">3.5 Kiểm định độ vững</w:t>
      </w:r>
    </w:p>
    <w:bookmarkStart w:id="132"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Bậc 1 và biến thể gồm cả Bậc 2 trên mẫu con từ năm 2024 trở đi, nơi các chỉ báo số phong phú hơn đã sẵn có.</w:t>
      </w:r>
    </w:p>
    <w:bookmarkEnd w:id="132"/>
    <w:bookmarkStart w:id="133"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3"/>
    <w:bookmarkStart w:id="134"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4"/>
    <w:bookmarkStart w:id="135"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mô hình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5"/>
    <w:bookmarkStart w:id="136"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6"/>
    <w:bookmarkStart w:id="137"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mô hình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Bậc 1 và biến thể Bậc 1 cộng Bậc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37"/>
    <w:bookmarkStart w:id="138"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138"/>
    <w:bookmarkStart w:id="139"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Bậc 1 không khác biệt thống kê với không, một kết quả độ vững củng cố cách diễn giải tính lỗi thời của biến đại diện Bậc 1 trong môi trường số đã lan tỏa gần phổ quát.</w:t>
      </w:r>
    </w:p>
    <w:bookmarkEnd w:id="139"/>
    <w:bookmarkStart w:id="140"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40"/>
    <w:bookmarkStart w:id="141" w:name="Xd3efa1c9933abf55f73b5b64d09df1e1f7d5dcd"/>
    <w:p>
      <w:pPr>
        <w:pStyle w:val="Heading3"/>
      </w:pPr>
      <w:r>
        <w:t xml:space="preserve">3.5.6.3 Tính nhất quán về dấu qua nhiều mô hình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mô hình,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mô hình: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141"/>
    <w:bookmarkStart w:id="142" w:name="X1ba20c2af5cc926bcdfa5cd872c426ad83188dc"/>
    <w:p>
      <w:pPr>
        <w:pStyle w:val="Heading3"/>
      </w:pPr>
      <w:r>
        <w:t xml:space="preserve">3.5.6.4 Ba kiểm định độ vững bổ sung trên khung canonical 50 nền</w:t>
      </w:r>
    </w:p>
    <w:p>
      <w:pPr>
        <w:pStyle w:val="FirstParagraph"/>
      </w:pPr>
      <w:r>
        <w:t xml:space="preserve">Ba kiểm định bổ sung dưới đây được tái lập trực tiếp từ khung dữ liệu canonical (</w:t>
      </w:r>
      <w:r>
        <w:rPr>
          <w:rStyle w:val="VerbatimChar"/>
        </w:rPr>
        <w:t xml:space="preserve">data_wbes/p7/p7_pooled_clean.csv</w:t>
      </w:r>
      <w:r>
        <w:t xml:space="preserve">; N năng suất hợp lệ ≈ 78.810) bằng mã nguồn</w:t>
      </w:r>
      <w:r>
        <w:t xml:space="preserve"> </w:t>
      </w:r>
      <w:r>
        <w:rPr>
          <w:rStyle w:val="VerbatimChar"/>
        </w:rPr>
        <w:t xml:space="preserve">scripts/revision_evidence.py</w:t>
      </w:r>
      <w:r>
        <w:t xml:space="preserve">, nhằm trả lời ba quan ngại nhận diện thường gặp ở phản biện tạp chí quốc tế: tính đầy đủ của dạng hàm, thiên lệch phương pháp chung, và độ giá trị tách bạch của hai cấu trúc năng lực số.</w:t>
      </w:r>
    </w:p>
    <w:p>
      <w:pPr>
        <w:pStyle w:val="BodyText"/>
      </w:pPr>
      <w:r>
        <w:rPr>
          <w:bCs/>
          <w:b/>
        </w:rPr>
        <w:t xml:space="preserve">Thứ nhất, đặc tả bậc hai là đủ.</w:t>
      </w:r>
      <w:r>
        <w:t xml:space="preserve"> </w:t>
      </w:r>
      <w:r>
        <w:t xml:space="preserve">Khi thêm số hạng bậc ba của cường độ xuất khẩu vào mô hình gộp (hiệu ứng cố định nền kinh tế và năm, sai số chuẩn gom cụm theo nền), số hạng bậc ba không có ý nghĩa thống kê (</w:t>
      </w:r>
      <m:oMath>
        <m:sSub>
          <m:e>
            <m:acc>
              <m:accPr>
                <m:chr m:val="̂"/>
              </m:accPr>
              <m:e>
                <m:r>
                  <m:t>β</m:t>
                </m:r>
              </m:e>
            </m:acc>
          </m:e>
          <m:sub>
            <m:r>
              <m:t>3</m:t>
            </m:r>
          </m:sub>
        </m:sSub>
        <m:r>
          <m:rPr>
            <m:sty m:val="p"/>
          </m:rPr>
          <m:t>=</m:t>
        </m:r>
        <m:r>
          <m:rPr>
            <m:sty m:val="p"/>
          </m:rPr>
          <m:t>+</m:t>
        </m:r>
        <m:r>
          <m:t>1</m:t>
        </m:r>
        <m:r>
          <m:rPr>
            <m:sty m:val="p"/>
          </m:rPr>
          <m:t>,</m:t>
        </m:r>
        <m:r>
          <m:t>01</m:t>
        </m:r>
      </m:oMath>
      <w:r>
        <w:t xml:space="preserve">,</w:t>
      </w:r>
      <w:r>
        <w:t xml:space="preserve"> </w:t>
      </w:r>
      <m:oMath>
        <m:r>
          <m:t>p</m:t>
        </m:r>
        <m:r>
          <m:rPr>
            <m:sty m:val="p"/>
          </m:rPr>
          <m:t>=</m:t>
        </m:r>
        <m:r>
          <m:rPr>
            <m:sty m:val="p"/>
          </m:rPr>
          <m:t>,</m:t>
        </m:r>
        <m:r>
          <m:t>53</m:t>
        </m:r>
      </m:oMath>
      <w:r>
        <w:t xml:space="preserve">) và tiêu chí thông tin Bayes phạt mô hình bậc ba (</w:t>
      </w:r>
      <m:oMath>
        <m:r>
          <m:t>Δ</m:t>
        </m:r>
        <m:r>
          <m:rPr>
            <m:sty m:val="p"/>
          </m:rPr>
          <m:t>B</m:t>
        </m:r>
        <m:r>
          <m:rPr>
            <m:sty m:val="p"/>
          </m:rPr>
          <m:t>I</m:t>
        </m:r>
        <m:r>
          <m:rPr>
            <m:sty m:val="p"/>
          </m:rPr>
          <m:t>C</m:t>
        </m:r>
        <m:r>
          <m:rPr>
            <m:sty m:val="p"/>
          </m:rPr>
          <m:t>=</m:t>
        </m:r>
        <m:r>
          <m:rPr>
            <m:sty m:val="p"/>
          </m:rPr>
          <m:t>+</m:t>
        </m:r>
        <m:r>
          <m:t>8</m:t>
        </m:r>
        <m:r>
          <m:rPr>
            <m:sty m:val="p"/>
          </m:rPr>
          <m:t>,</m:t>
        </m:r>
        <m:r>
          <m:t>4</m:t>
        </m:r>
      </m:oMath>
      <w:r>
        <w:t xml:space="preserve"> </w:t>
      </w:r>
      <w:r>
        <w:t xml:space="preserve">so với mô hình bậc hai). Kết quả này bác bỏ giả thuyết rằng quan hệ quốc tế hóa và hiệu quả ở cấp gộp tuân theo đường cong chữ S bậc ba, và xác nhận lựa chọn đặc tả bậc hai để định vị điểm uốn là tiết kiệm và phù hợp dữ liệu.</w:t>
      </w:r>
    </w:p>
    <w:p>
      <w:pPr>
        <w:pStyle w:val="BodyText"/>
      </w:pPr>
      <w:r>
        <w:rPr>
          <w:bCs/>
          <w:b/>
        </w:rPr>
        <w:t xml:space="preserve">Thứ hai, thiên lệch phương pháp chung không nghiêm trọng.</w:t>
      </w:r>
      <w:r>
        <w:t xml:space="preserve"> </w:t>
      </w:r>
      <w:r>
        <w:t xml:space="preserve">Vì mọi biến đều rút từ cùng một bảng khảo sát WBES, luận án thực hiện kiểm định một-nhân-tố Harman (Podsakoff et al., 2003) trên sáu biến lõi (năng suất lao động, cường độ xuất khẩu, TCI, DAI, quy mô, tuổi doanh nghiệp): nhân tố đầu tiên chỉ giải thích</w:t>
      </w:r>
      <w:r>
        <w:t xml:space="preserve"> </w:t>
      </w:r>
      <m:oMath>
        <m:r>
          <m:t>31</m:t>
        </m:r>
        <m:r>
          <m:rPr>
            <m:sty m:val="p"/>
          </m:rPr>
          <m:t>,</m:t>
        </m:r>
        <m:r>
          <m:t>6</m:t>
        </m:r>
        <m:r>
          <m:rPr>
            <m:sty m:val="p"/>
          </m:rPr>
          <m:t>%</m:t>
        </m:r>
      </m:oMath>
      <w:r>
        <w:t xml:space="preserve"> </w:t>
      </w:r>
      <w:r>
        <w:t xml:space="preserve">tổng phương sai, thấp hơn ngưỡng cảnh báo</w:t>
      </w:r>
      <w:r>
        <w:t xml:space="preserve"> </w:t>
      </w:r>
      <m:oMath>
        <m:r>
          <m:t>50</m:t>
        </m:r>
        <m:r>
          <m:rPr>
            <m:sty m:val="p"/>
          </m:rPr>
          <m:t>%</m:t>
        </m:r>
      </m:oMath>
      <w:r>
        <w:t xml:space="preserve"> </w:t>
      </w:r>
      <w:r>
        <w:t xml:space="preserve">thường dùng, cho thấy phương sai phương pháp chung không phải là nguồn giải thích thay thế đáng kể cho các mối liên hệ quan sát được.</w:t>
      </w:r>
    </w:p>
    <w:p>
      <w:pPr>
        <w:pStyle w:val="BodyText"/>
      </w:pPr>
      <w:r>
        <w:rPr>
          <w:bCs/>
          <w:b/>
        </w:rPr>
        <w:t xml:space="preserve">Thứ ba, TCI và DAI là hai chỉ số hợp thành (formative) tách biệt về thực nghiệm với mạng nomological khác biệt.</w:t>
      </w:r>
      <w:r>
        <w:t xml:space="preserve"> </w:t>
      </w:r>
      <w:r>
        <w:t xml:space="preserve">Một điểm phương pháp luận cần làm rõ là TCI và DAI được vận hành hóa như</w:t>
      </w:r>
      <w:r>
        <w:t xml:space="preserve"> </w:t>
      </w:r>
      <w:r>
        <w:rPr>
          <w:bCs/>
          <w:b/>
        </w:rPr>
        <w:t xml:space="preserve">chỉ số hợp thành (formative composite index)</w:t>
      </w:r>
      <w:r>
        <w:t xml:space="preserve"> </w:t>
      </w:r>
      <w:r>
        <w:t xml:space="preserve">chứ không phải cấu trúc phản ánh (reflective): các chỉ báo cấu thành (chứng nhận chất lượng, công nghệ nước ngoài, website, thanh toán điện tử) là</w:t>
      </w:r>
      <w:r>
        <w:t xml:space="preserve"> </w:t>
      </w:r>
      <w:r>
        <w:rPr>
          <w:bCs/>
          <w:b/>
        </w:rPr>
        <w:t xml:space="preserve">nguyên nhân cấu thành</w:t>
      </w:r>
      <w:r>
        <w:t xml:space="preserve"> </w:t>
      </w:r>
      <w:r>
        <w:t xml:space="preserve">năng lực chứ không phải biểu hiện của một biến tiềm ẩn chung; bỏ một chỉ báo làm thay đổi nội hàm cấu trúc, và theo bốn tiêu chí của Coltman et al. (2008), các chỉ báo formative</w:t>
      </w:r>
      <w:r>
        <w:t xml:space="preserve"> </w:t>
      </w:r>
      <w:r>
        <w:rPr>
          <w:bCs/>
          <w:b/>
        </w:rPr>
        <w:t xml:space="preserve">không bắt buộc phải đồng biến</w:t>
      </w:r>
      <w:r>
        <w:t xml:space="preserve">. Do đó tương quan nội bộ thấp giữa các chỉ báo trong cùng một chỉ số (chứng nhận với công nghệ nước ngoài</w:t>
      </w:r>
      <w:r>
        <w:t xml:space="preserve"> </w:t>
      </w:r>
      <m:oMath>
        <m:r>
          <m:t>r</m:t>
        </m:r>
        <m:r>
          <m:rPr>
            <m:sty m:val="p"/>
          </m:rPr>
          <m:t>=</m:t>
        </m:r>
        <m:r>
          <m:t>0</m:t>
        </m:r>
        <m:r>
          <m:rPr>
            <m:sty m:val="p"/>
          </m:rPr>
          <m:t>,</m:t>
        </m:r>
        <m:r>
          <m:t>12</m:t>
        </m:r>
      </m:oMath>
      <w:r>
        <w:t xml:space="preserve">; website với thanh toán điện tử</w:t>
      </w:r>
      <w:r>
        <w:t xml:space="preserve"> </w:t>
      </w:r>
      <m:oMath>
        <m:r>
          <m:t>r</m:t>
        </m:r>
        <m:r>
          <m:rPr>
            <m:sty m:val="p"/>
          </m:rPr>
          <m:t>=</m:t>
        </m:r>
        <m:r>
          <m:t>0</m:t>
        </m:r>
        <m:r>
          <m:rPr>
            <m:sty m:val="p"/>
          </m:rPr>
          <m:t>,</m:t>
        </m:r>
        <m:r>
          <m:t>03</m:t>
        </m:r>
      </m:oMath>
      <w:r>
        <w:t xml:space="preserve">) là</w:t>
      </w:r>
      <w:r>
        <w:t xml:space="preserve"> </w:t>
      </w:r>
      <w:r>
        <w:rPr>
          <w:bCs/>
          <w:b/>
        </w:rPr>
        <w:t xml:space="preserve">đúng kỳ vọng của đo lường hợp thành</w:t>
      </w:r>
      <w:r>
        <w:t xml:space="preserve">, không phải dấu hiệu thiếu hiệu lực, và các công cụ chẩn đoán dành cho đo lường phản ánh (phân tích nhân tố khám phá, nhất quán nội bộ) không phải kiểm định thích hợp cho loại đo lường này. Kiểm định thích hợp là ở</w:t>
      </w:r>
      <w:r>
        <w:t xml:space="preserve"> </w:t>
      </w:r>
      <w:r>
        <w:rPr>
          <w:bCs/>
          <w:b/>
        </w:rPr>
        <w:t xml:space="preserve">cấp chỉ số hợp thành</w:t>
      </w:r>
      <w:r>
        <w:t xml:space="preserve">, và nó xác nhận hai chỉ số tách biệt rõ về thực nghiệm: trên toàn khung phân tích canonical (khớp mẫu hồi quy bên dưới), tương quan giữa hai chỉ số chuẩn hóa chỉ là</w:t>
      </w:r>
      <w:r>
        <w:t xml:space="preserve"> </w:t>
      </w:r>
      <m:oMath>
        <m:r>
          <m:t>0</m:t>
        </m:r>
        <m:r>
          <m:rPr>
            <m:sty m:val="p"/>
          </m:rPr>
          <m:t>,</m:t>
        </m:r>
        <m:r>
          <m:t>28</m:t>
        </m:r>
      </m:oMath>
      <w:r>
        <w:t xml:space="preserve">, tức chia sẻ</w:t>
      </w:r>
      <w:r>
        <w:t xml:space="preserve"> </w:t>
      </w:r>
      <m:oMath>
        <m:r>
          <m:t>8</m:t>
        </m:r>
        <m:r>
          <m:rPr>
            <m:sty m:val="p"/>
          </m:rPr>
          <m:t>,</m:t>
        </m:r>
        <m:r>
          <m:t>0</m:t>
        </m:r>
        <m:r>
          <m:rPr>
            <m:sty m:val="p"/>
          </m:rPr>
          <m:t>%</m:t>
        </m:r>
      </m:oMath>
      <w:r>
        <w:t xml:space="preserve"> </w:t>
      </w:r>
      <w:r>
        <w:t xml:space="preserve">phương sai (trên tập con có đủ cả hai chỉ số phiên bản Tầng-2 đầy đủ,</w:t>
      </w:r>
      <w:r>
        <w:t xml:space="preserve"> </w:t>
      </w:r>
      <m:oMath>
        <m:r>
          <m:t>N</m:t>
        </m:r>
        <m:r>
          <m:rPr>
            <m:sty m:val="p"/>
          </m:rPr>
          <m:t>=</m:t>
        </m:r>
        <m:r>
          <m:t>8.574</m:t>
        </m:r>
      </m:oMath>
      <w:r>
        <w:t xml:space="preserve">, tương quan</w:t>
      </w:r>
      <w:r>
        <w:t xml:space="preserve"> </w:t>
      </w:r>
      <m:oMath>
        <m:r>
          <m:t>0</m:t>
        </m:r>
        <m:r>
          <m:rPr>
            <m:sty m:val="p"/>
          </m:rPr>
          <m:t>,</m:t>
        </m:r>
        <m:r>
          <m:t>34</m:t>
        </m:r>
      </m:oMath>
      <w:r>
        <w:t xml:space="preserve">); và khi đưa đồng thời vào cùng một mô hình, mỗi chỉ số giữ một hiệu ứng riêng phần độc lập và có ý nghĩa cao (TCI</w:t>
      </w:r>
      <w:r>
        <w:t xml:space="preserve"> </w:t>
      </w:r>
      <m:oMath>
        <m:r>
          <m:rPr>
            <m:sty m:val="p"/>
          </m:rPr>
          <m:t>+</m:t>
        </m:r>
        <m:r>
          <m:t>0</m:t>
        </m:r>
        <m:r>
          <m:rPr>
            <m:sty m:val="p"/>
          </m:rPr>
          <m:t>,</m:t>
        </m:r>
        <m:r>
          <m:t>18</m:t>
        </m:r>
      </m:oMath>
      <w:r>
        <w:t xml:space="preserve">, DAI</w:t>
      </w:r>
      <w:r>
        <w:t xml:space="preserve"> </w:t>
      </w:r>
      <m:oMath>
        <m:r>
          <m:rPr>
            <m:sty m:val="p"/>
          </m:rPr>
          <m:t>+</m:t>
        </m:r>
        <m:r>
          <m:t>0</m:t>
        </m:r>
        <m:r>
          <m:rPr>
            <m:sty m:val="p"/>
          </m:rPr>
          <m:t>,</m:t>
        </m:r>
        <m:r>
          <m:t>131</m:t>
        </m:r>
      </m:oMath>
      <w:r>
        <w:t xml:space="preserve">, cả hai</w:t>
      </w:r>
      <w:r>
        <w:t xml:space="preserve"> </w:t>
      </w:r>
      <m:oMath>
        <m:r>
          <m:t>p</m:t>
        </m:r>
        <m:r>
          <m:rPr>
            <m:sty m:val="p"/>
          </m:rPr>
          <m:t>&lt;</m:t>
        </m:r>
        <m:r>
          <m:rPr>
            <m:sty m:val="p"/>
          </m:rPr>
          <m:t>,</m:t>
        </m:r>
        <m:r>
          <m:t>001</m:t>
        </m:r>
      </m:oMath>
      <w:r>
        <w:t xml:space="preserve">), cho thấy chúng không trùng lặp mà nắm bắt hai chiều năng lực khác nhau. Bằng chứng này củng cố tính mới về sự phân biệt TCI–DAI: hai chỉ số là</w:t>
      </w:r>
      <w:r>
        <w:t xml:space="preserve"> </w:t>
      </w:r>
      <w:r>
        <w:rPr>
          <w:bCs/>
          <w:b/>
        </w:rPr>
        <w:t xml:space="preserve">hai cấu trúc hợp thành tách biệt có mạng nomological khác nhau</w:t>
      </w:r>
      <w:r>
        <w:t xml:space="preserve">, nhất quán với vai trò điều tiết khác nhau của chúng (cả hai là bộ nâng mặt bằng; vai trò uốn đường cong phụ thuộc chế độ thể chế, Mục 4.6.3). Chi tiết số liệu của các kiểm định này được lưu ở</w:t>
      </w:r>
      <w:r>
        <w:t xml:space="preserve"> </w:t>
      </w:r>
      <w:r>
        <w:rPr>
          <w:rStyle w:val="VerbatimChar"/>
        </w:rPr>
        <w:t xml:space="preserve">reviews/REVISION_EVIDENCE_2026-06-23.md</w:t>
      </w:r>
      <w:r>
        <w:t xml:space="preserve">.</w:t>
      </w:r>
    </w:p>
    <w:bookmarkEnd w:id="142"/>
    <w:bookmarkEnd w:id="143"/>
    <w:bookmarkStart w:id="144"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hoạt động kinh doanh của doanh nghiệp đa chiều trong bối cảnh WBES</w:t>
            </w:r>
          </w:p>
        </w:tc>
      </w:tr>
      <w:tr>
        <w:tc>
          <w:tcPr/>
          <w:p>
            <w:pPr>
              <w:pStyle w:val="Compact"/>
              <w:jc w:val="left"/>
            </w:pPr>
            <w:r>
              <w:t xml:space="preserve">FSTS +</w:t>
            </w:r>
            <w:r>
              <w:t xml:space="preserve"> </w:t>
            </w:r>
            <m:oMath>
              <m:sSup>
                <m:e>
                  <m:r>
                    <m:rPr>
                      <m:nor/>
                      <m:sty m:val="p"/>
                    </m:rPr>
                    <m:t>FSTS</m:t>
                  </m:r>
                </m:e>
                <m:sup>
                  <m:r>
                    <m:t>2</m:t>
                  </m:r>
                </m:sup>
              </m:sSup>
            </m:oMath>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Điều tiết ba chiều</w:t>
            </w:r>
          </w:p>
        </w:tc>
        <w:tc>
          <w:tcPr/>
          <w:p>
            <w:pPr>
              <w:pStyle w:val="Compact"/>
              <w:jc w:val="left"/>
            </w:pPr>
            <w:r>
              <w:t xml:space="preserve">Aiken &amp; West (1991); Dawson (2014)</w:t>
            </w:r>
          </w:p>
        </w:tc>
        <w:tc>
          <w:tcPr/>
          <w:p>
            <w:pPr>
              <w:pStyle w:val="Compact"/>
              <w:jc w:val="left"/>
            </w:pPr>
            <w:r>
              <w:t xml:space="preserve">số × thể chế × nhà quản trị, mới cho châu Á và Thái Bình Dương</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kiểm định ổn định Trung Quốc 2012–2024 (điểm uốn ~47,8%</w:t>
            </w:r>
            <w:r>
              <w:t xml:space="preserve"> </w:t>
            </w:r>
            <m:oMath>
              <m:r>
                <m:rPr>
                  <m:sty m:val="p"/>
                </m:rPr>
                <m:t>F</m:t>
              </m:r>
              <m:r>
                <m:rPr>
                  <m:sty m:val="p"/>
                </m:rPr>
                <m:t>S</m:t>
              </m:r>
              <m:r>
                <m:rPr>
                  <m:sty m:val="p"/>
                </m:rPr>
                <m:t>T</m:t>
              </m:r>
              <m:r>
                <m:rPr>
                  <m:sty m:val="p"/>
                </m:rPr>
                <m:t>S</m:t>
              </m:r>
            </m:oMath>
            <w:r>
              <w:t xml:space="preserve">)</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4"/>
    <w:bookmarkStart w:id="145"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5"/>
    <w:bookmarkStart w:id="146" w:name="chương-4-kết-quả-nghiên-cứu"/>
    <w:p>
      <w:pPr>
        <w:pStyle w:val="Heading1"/>
      </w:pPr>
      <w:r>
        <w:t xml:space="preserve">CHƯƠNG 4: KẾT QUẢ NGHIÊN CỨU</w:t>
      </w:r>
    </w:p>
    <w:bookmarkEnd w:id="146"/>
    <w:p>
      <w:r>
        <w:pict>
          <v:rect style="width:0;height:1.5pt" o:hralign="center" o:hrstd="t" o:hr="t"/>
        </w:pict>
      </w:r>
    </w:p>
    <w:bookmarkStart w:id="147"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pPr>
        <w:pStyle w:val="BlockText"/>
      </w:pPr>
      <w:r>
        <w:rPr>
          <w:bCs/>
          <w:b/>
        </w:rPr>
        <w:t xml:space="preserve">Ghi chú nhận diện (đọc trước toàn chương).</w:t>
      </w:r>
      <w:r>
        <w:t xml:space="preserve"> </w:t>
      </w:r>
      <w:r>
        <w:t xml:space="preserve">Dữ liệu thực nghiệm là lát cắt ngang lặp lại, không phải bảng theo dõi cùng doanh nghiệp qua thời gian. Do đó, trừ nơi nêu rõ chiến lược biến công cụ (P3, P5), các hệ số trong chương này nên được đọc là</w:t>
      </w:r>
      <w:r>
        <w:t xml:space="preserve"> </w:t>
      </w:r>
      <w:r>
        <w:rPr>
          <w:bCs/>
          <w:b/>
        </w:rPr>
        <w:t xml:space="preserve">quan hệ liên hệ (associational) vững về mặt thống kê</w:t>
      </w:r>
      <w:r>
        <w:t xml:space="preserve"> </w:t>
      </w:r>
      <w:r>
        <w:t xml:space="preserve">sau khi hấp thụ hiệu ứng cố định nền kinh tế và năm,</w:t>
      </w:r>
      <w:r>
        <w:t xml:space="preserve"> </w:t>
      </w:r>
      <w:r>
        <w:rPr>
          <w:bCs/>
          <w:b/>
        </w:rPr>
        <w:t xml:space="preserve">chứ chưa phải hiệu ứng nhân quả</w:t>
      </w:r>
      <w:r>
        <w:t xml:space="preserve"> </w:t>
      </w:r>
      <w:r>
        <w:t xml:space="preserve">được nhận diện trực tiếp; ranh giới suy luận này được trình bày đầy đủ ở Mục 3.5.6 và đối chiếu với ba phản bác chính (nhân quả ngược, chọn lọc xuất khẩu, tạo tác đo lường) ở Mục 4.11. Các kết quả từ mẫu nhỏ hoặc thiếu công suất (đặc biệt P8 SIDS) được trình bày như</w:t>
      </w:r>
      <w:r>
        <w:t xml:space="preserve"> </w:t>
      </w:r>
      <w:r>
        <w:rPr>
          <w:bCs/>
          <w:b/>
        </w:rPr>
        <w:t xml:space="preserve">bằng chứng thăm dò cho điều kiện biên lý thuyết</w:t>
      </w:r>
      <w:r>
        <w:t xml:space="preserve">, không phải hiệu ứng khẳng định.</w:t>
      </w:r>
    </w:p>
    <w:p>
      <w:r>
        <w:pict>
          <v:rect style="width:0;height:1.5pt" o:hralign="center" o:hrstd="t" o:hr="t"/>
        </w:pict>
      </w:r>
    </w:p>
    <w:bookmarkEnd w:id="147"/>
    <w:bookmarkStart w:id="177" w:name="Xed285cd0261846a13dee28de69c0403b250498d"/>
    <w:p>
      <w:pPr>
        <w:pStyle w:val="Heading2"/>
      </w:pPr>
      <w:r>
        <w:t xml:space="preserve">4.1 Thực trạng quốc tế hóa và hiệu quả hoạt động kinh doanh tại châu Á</w:t>
      </w:r>
    </w:p>
    <w:bookmarkStart w:id="154" w:name="Xe27c4fc798ba9badf07654f8bef42e3eb112ba1"/>
    <w:p>
      <w:pPr>
        <w:pStyle w:val="Heading3"/>
      </w:pPr>
      <w:r>
        <w:t xml:space="preserve">4.1.1 Toàn cảnh tổng thể về hiệu quả hoạt động kinh doanh của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4.1–4.2 dưới đây được</w:t>
      </w:r>
      <w:r>
        <w:t xml:space="preserve"> </w:t>
      </w:r>
      <w:r>
        <w:rPr>
          <w:bCs/>
          <w:b/>
        </w:rPr>
        <w:t xml:space="preserve">tái lập trực tiếp từ dữ liệu thô</w:t>
      </w:r>
      <w:r>
        <w:t xml:space="preserve"> </w:t>
      </w:r>
      <w:r>
        <w:t xml:space="preserve">trên khung mô tả 50 nền có năng suất hợp lệ (84.998 doanh nghiệp; 107 cặp nền–năm), bằng cùng quy trình hài hòa hóa với pipeline kinh tế lượng P7 (</w:t>
      </w:r>
      <w:r>
        <w:rPr>
          <w:rStyle w:val="VerbatimChar"/>
        </w:rPr>
        <w:t xml:space="preserve">scripts/relock_descriptives_canonical.py</w:t>
      </w:r>
      <w:r>
        <w:t xml:space="preserve">); pool phân loại ICRV rộng hơn là 96.415 doanh nghiệp / 52 nhãn nền, khung phân tích đa quốc gia là 88.869 / 50 nền gồm Nhật Bản, và mẫu hồi quy chính P7 M2 là N = 81.022.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0,96 (Nhóm I, Advanced đổi mới) lên 1,24–1,37 (Nhóm III–V), và tỷ số P90/P10 leo từ khoảng 11 lần (Nhóm I) lên khoảng 27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(khung mô tả tái lập 50 nền có năng suất hợp lệ, 84.998 doanh nghiệp, WBES 2006–2026; pool phân loại ICRV rộng hơn 96.415/52 nhãn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(LP-valid)</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 JPN)</w:t>
            </w:r>
          </w:p>
        </w:tc>
        <w:tc>
          <w:tcPr/>
          <w:p>
            <w:pPr>
              <w:pStyle w:val="Compact"/>
              <w:jc w:val="left"/>
            </w:pPr>
            <w:r>
              <w:t xml:space="preserve">5.688</w:t>
            </w:r>
          </w:p>
        </w:tc>
        <w:tc>
          <w:tcPr/>
          <w:p>
            <w:pPr>
              <w:pStyle w:val="Compact"/>
              <w:jc w:val="left"/>
            </w:pPr>
            <w:r>
              <w:t xml:space="preserve">0,96</w:t>
            </w:r>
          </w:p>
        </w:tc>
        <w:tc>
          <w:tcPr/>
          <w:p>
            <w:pPr>
              <w:pStyle w:val="Compact"/>
              <w:jc w:val="left"/>
            </w:pPr>
            <w:r>
              <w:t xml:space="preserve">10,3</w:t>
            </w:r>
          </w:p>
        </w:tc>
        <w:tc>
          <w:tcPr/>
          <w:p>
            <w:pPr>
              <w:pStyle w:val="Compact"/>
              <w:jc w:val="left"/>
            </w:pPr>
            <w:r>
              <w:t xml:space="preserve">24,3</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2.082</w:t>
            </w:r>
          </w:p>
        </w:tc>
        <w:tc>
          <w:tcPr/>
          <w:p>
            <w:pPr>
              <w:pStyle w:val="Compact"/>
              <w:jc w:val="left"/>
            </w:pPr>
            <w:r>
              <w:rPr>
                <w:bCs/>
                <w:b/>
              </w:rPr>
              <w:t xml:space="preserve">0,79</w:t>
            </w:r>
            <w:r>
              <w:t xml:space="preserve">²</w:t>
            </w:r>
          </w:p>
        </w:tc>
        <w:tc>
          <w:tcPr/>
          <w:p>
            <w:pPr>
              <w:pStyle w:val="Compact"/>
              <w:jc w:val="left"/>
            </w:pPr>
            <w:r>
              <w:t xml:space="preserve">3,9</w:t>
            </w:r>
          </w:p>
        </w:tc>
        <w:tc>
          <w:tcPr/>
          <w:p>
            <w:pPr>
              <w:pStyle w:val="Compact"/>
              <w:jc w:val="left"/>
            </w:pPr>
            <w:r>
              <w:t xml:space="preserve">11,6</w:t>
            </w:r>
          </w:p>
        </w:tc>
        <w:tc>
          <w:tcPr/>
          <w:p>
            <w:pPr>
              <w:pStyle w:val="Compact"/>
              <w:jc w:val="left"/>
            </w:pPr>
            <w:r>
              <w:t xml:space="preserve">13,6</w:t>
            </w:r>
          </w:p>
        </w:tc>
      </w:tr>
      <w:tr>
        <w:tc>
          <w:tcPr/>
          <w:p>
            <w:pPr>
              <w:pStyle w:val="Compact"/>
              <w:jc w:val="left"/>
            </w:pPr>
            <w:r>
              <w:t xml:space="preserve">Nhóm III: trung bình cao (CHN, MYS, THA, KAZ…)</w:t>
            </w:r>
          </w:p>
        </w:tc>
        <w:tc>
          <w:tcPr/>
          <w:p>
            <w:pPr>
              <w:pStyle w:val="Compact"/>
              <w:jc w:val="left"/>
            </w:pPr>
            <w:r>
              <w:t xml:space="preserve">15.174</w:t>
            </w:r>
          </w:p>
        </w:tc>
        <w:tc>
          <w:tcPr/>
          <w:p>
            <w:pPr>
              <w:pStyle w:val="Compact"/>
              <w:jc w:val="left"/>
            </w:pPr>
            <w:r>
              <w:t xml:space="preserve">1,30</w:t>
            </w:r>
          </w:p>
        </w:tc>
        <w:tc>
          <w:tcPr/>
          <w:p>
            <w:pPr>
              <w:pStyle w:val="Compact"/>
              <w:jc w:val="left"/>
            </w:pPr>
            <w:r>
              <w:t xml:space="preserve">10,3</w:t>
            </w:r>
          </w:p>
        </w:tc>
        <w:tc>
          <w:tcPr/>
          <w:p>
            <w:pPr>
              <w:pStyle w:val="Compact"/>
              <w:jc w:val="left"/>
            </w:pPr>
            <w:r>
              <w:t xml:space="preserve">21,6</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42.798</w:t>
            </w:r>
          </w:p>
        </w:tc>
        <w:tc>
          <w:tcPr/>
          <w:p>
            <w:pPr>
              <w:pStyle w:val="Compact"/>
              <w:jc w:val="left"/>
            </w:pPr>
            <w:r>
              <w:t xml:space="preserve">1,24</w:t>
            </w:r>
          </w:p>
        </w:tc>
        <w:tc>
          <w:tcPr/>
          <w:p>
            <w:pPr>
              <w:pStyle w:val="Compact"/>
              <w:jc w:val="left"/>
            </w:pPr>
            <w:r>
              <w:t xml:space="preserve">8,1</w:t>
            </w:r>
          </w:p>
        </w:tc>
        <w:tc>
          <w:tcPr/>
          <w:p>
            <w:pPr>
              <w:pStyle w:val="Compact"/>
              <w:jc w:val="left"/>
            </w:pPr>
            <w:r>
              <w:t xml:space="preserve">14,1</w:t>
            </w:r>
          </w:p>
        </w:tc>
        <w:tc>
          <w:tcPr/>
          <w:p>
            <w:pPr>
              <w:pStyle w:val="Compact"/>
              <w:jc w:val="left"/>
            </w:pPr>
            <w:r>
              <w:t xml:space="preserve">3,1</w:t>
            </w:r>
          </w:p>
        </w:tc>
      </w:tr>
      <w:tr>
        <w:tc>
          <w:tcPr/>
          <w:p>
            <w:pPr>
              <w:pStyle w:val="Compact"/>
              <w:jc w:val="left"/>
            </w:pPr>
            <w:r>
              <w:t xml:space="preserve">Nhóm V: đang nổi (LAO, KHM, NPL, LKA, JOR, AZE…)</w:t>
            </w:r>
          </w:p>
        </w:tc>
        <w:tc>
          <w:tcPr/>
          <w:p>
            <w:pPr>
              <w:pStyle w:val="Compact"/>
              <w:jc w:val="left"/>
            </w:pPr>
            <w:r>
              <w:t xml:space="preserve">17.340</w:t>
            </w:r>
          </w:p>
        </w:tc>
        <w:tc>
          <w:tcPr/>
          <w:p>
            <w:pPr>
              <w:pStyle w:val="Compact"/>
              <w:jc w:val="left"/>
            </w:pPr>
            <w:r>
              <w:t xml:space="preserve">1,37</w:t>
            </w:r>
          </w:p>
        </w:tc>
        <w:tc>
          <w:tcPr/>
          <w:p>
            <w:pPr>
              <w:pStyle w:val="Compact"/>
              <w:jc w:val="left"/>
            </w:pPr>
            <w:r>
              <w:t xml:space="preserve">10,2</w:t>
            </w:r>
          </w:p>
        </w:tc>
        <w:tc>
          <w:tcPr/>
          <w:p>
            <w:pPr>
              <w:pStyle w:val="Compact"/>
              <w:jc w:val="left"/>
            </w:pPr>
            <w:r>
              <w:t xml:space="preserve">18,1</w:t>
            </w:r>
          </w:p>
        </w:tc>
        <w:tc>
          <w:tcPr/>
          <w:p>
            <w:pPr>
              <w:pStyle w:val="Compact"/>
              <w:jc w:val="left"/>
            </w:pPr>
            <w:r>
              <w:t xml:space="preserve">7,0</w:t>
            </w:r>
          </w:p>
        </w:tc>
      </w:tr>
      <w:tr>
        <w:tc>
          <w:tcPr/>
          <w:p>
            <w:pPr>
              <w:pStyle w:val="Compact"/>
              <w:jc w:val="left"/>
            </w:pPr>
            <w:r>
              <w:t xml:space="preserve">Nhóm VI: SIDS (FJI, PNG, SLB…)</w:t>
            </w:r>
          </w:p>
        </w:tc>
        <w:tc>
          <w:tcPr/>
          <w:p>
            <w:pPr>
              <w:pStyle w:val="Compact"/>
              <w:jc w:val="left"/>
            </w:pPr>
            <w:r>
              <w:t xml:space="preserve">1.916</w:t>
            </w:r>
          </w:p>
        </w:tc>
        <w:tc>
          <w:tcPr/>
          <w:p>
            <w:pPr>
              <w:pStyle w:val="Compact"/>
              <w:jc w:val="left"/>
            </w:pPr>
            <w:r>
              <w:rPr>
                <w:bCs/>
                <w:b/>
              </w:rPr>
              <w:t xml:space="preserve">1,40</w:t>
            </w:r>
          </w:p>
        </w:tc>
        <w:tc>
          <w:tcPr/>
          <w:p>
            <w:pPr>
              <w:pStyle w:val="Compact"/>
              <w:jc w:val="left"/>
            </w:pPr>
            <w:r>
              <w:t xml:space="preserve">6,7</w:t>
            </w:r>
          </w:p>
        </w:tc>
        <w:tc>
          <w:tcPr/>
          <w:p>
            <w:pPr>
              <w:pStyle w:val="Compact"/>
              <w:jc w:val="left"/>
            </w:pPr>
            <w:r>
              <w:t xml:space="preserve">14,4</w:t>
            </w:r>
          </w:p>
        </w:tc>
        <w:tc>
          <w:tcPr/>
          <w:p>
            <w:pPr>
              <w:pStyle w:val="Compact"/>
              <w:jc w:val="left"/>
            </w:pPr>
            <w:r>
              <w:t xml:space="preserve">20,0</w:t>
            </w:r>
          </w:p>
        </w:tc>
      </w:tr>
      <w:tr>
        <w:tc>
          <w:tcPr/>
          <w:p>
            <w:pPr>
              <w:pStyle w:val="Compact"/>
              <w:jc w:val="left"/>
            </w:pPr>
            <w:r>
              <w:rPr>
                <w:bCs/>
                <w:b/>
              </w:rPr>
              <w:t xml:space="preserve">Tổng (LP-valid, 50 nền)</w:t>
            </w:r>
          </w:p>
        </w:tc>
        <w:tc>
          <w:tcPr/>
          <w:p>
            <w:pPr>
              <w:pStyle w:val="Compact"/>
              <w:jc w:val="left"/>
            </w:pPr>
            <w:r>
              <w:rPr>
                <w:bCs/>
                <w:b/>
              </w:rPr>
              <w:t xml:space="preserve">84.998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w:t>
      </w:r>
      <w:r>
        <w:rPr>
          <w:iCs/>
          <w:i/>
        </w:rPr>
        <w:t xml:space="preserve">trong khung mô tả tái lập gồm 50 nền / 107 cặp nền–năm (tổng 84.998), tính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với cùng quy trình hài hòa hóa như pipeline kinh tế lượng P7. Khung mô tả này là phần lõi có năng suất hợp lệ của khung phân tích đa quốc gia (50 nền gồm Nhật Bản); mẫu hồi quy chính P7 là N = 81.022 (M2) và 79.080 (M5; xem Mục 4.6.1), còn pool phân loại ICRV rộng hơn (gồm cả doanh nghiệp thiếu biến năng suất/thể chế) là 96.415 / 52 nhãn nền. Vì vậy n ở bảng này nhỏ hơn các đếm mẫu đầy đủ dùng ở Bảng 4.3. ¹ Độ lệch chuẩn ln(năng suất lao động) khử trung bình trong từng cặp nền kinh tế × năm rồi tổng hợp trên các quan sát của nhóm, bất biến với đơn vị tiền tệ (thừa số quy đổi triệt tiêu trên thang log); năng suất được winsorize 1/99 trong cụm country-year (xem Mục 3.5.3). ² Nhóm II có phân tán hẹp nhất toàn khung (nén năng suất kiểu kinh tế nhà nước tô); hai nền lớn nhất khối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24,3% doanh nghiệp xuất khẩu, trong khi nhóm tài nguyên dẫn dắt chỉ có R&amp;D 7,0% và 11,6%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hoạt động kinh doanh của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phổ thể chế ICRV (từ ~11 lần lên ~27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49" name="Picture"/>
            <a:graphic>
              <a:graphicData uri="http://schemas.openxmlformats.org/drawingml/2006/picture">
                <pic:pic>
                  <pic:nvPicPr>
                    <pic:cNvPr descr="figures/fig_4_1_pool_composition.png" id="150" name="Picture"/>
                    <pic:cNvPicPr>
                      <a:picLocks noChangeArrowheads="1" noChangeAspect="1"/>
                    </pic:cNvPicPr>
                  </pic:nvPicPr>
                  <pic:blipFill>
                    <a:blip r:embed="rId148"/>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2" name="Picture"/>
            <a:graphic>
              <a:graphicData uri="http://schemas.openxmlformats.org/drawingml/2006/picture">
                <pic:pic>
                  <pic:nvPicPr>
                    <pic:cNvPr descr="figures/fig_4_0_pool_by_year.png" id="153" name="Picture"/>
                    <pic:cNvPicPr>
                      <a:picLocks noChangeArrowheads="1" noChangeAspect="1"/>
                    </pic:cNvPicPr>
                  </pic:nvPicPr>
                  <pic:blipFill>
                    <a:blip r:embed="rId151"/>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4"/>
    <w:bookmarkStart w:id="158"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khoảng 12–24%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6,7% (SIDS) đến 10,3% (trung bình cao), với mức trung bình khu vực khoảng 9%.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6" name="Picture"/>
            <a:graphic>
              <a:graphicData uri="http://schemas.openxmlformats.org/drawingml/2006/picture">
                <pic:pic>
                  <pic:nvPicPr>
                    <pic:cNvPr descr="figures/fig_4_4_growth_pathway.png" id="157" name="Picture"/>
                    <pic:cNvPicPr>
                      <a:picLocks noChangeArrowheads="1" noChangeAspect="1"/>
                    </pic:cNvPicPr>
                  </pic:nvPicPr>
                  <pic:blipFill>
                    <a:blip r:embed="rId155"/>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58"/>
    <w:bookmarkStart w:id="162"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Bậc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tái lập trực tiếp từ dữ liệu thô WBES trên cùng khung mô tả canonical 50 nền (một cross-section chuẩn cho mỗi cặp nền kinh tế × năm, đợt khảo sát ≥ 2006) như Bảng 4.1,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(40,6%)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Bậc 1 nằm ở tương quan giữa website và năng suất: phần bù tương quan của DAI Bậc 1 thấp nhất ở nhóm Advanced đổi mới (+0,093, so với +0,183–0,202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Bậc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60" name="Picture"/>
            <a:graphic>
              <a:graphicData uri="http://schemas.openxmlformats.org/drawingml/2006/picture">
                <pic:pic>
                  <pic:nvPicPr>
                    <pic:cNvPr descr="figures/fig_4_6_firm_size.png" id="161" name="Picture"/>
                    <pic:cNvPicPr>
                      <a:picLocks noChangeArrowheads="1" noChangeAspect="1"/>
                    </pic:cNvPicPr>
                  </pic:nvPicPr>
                  <pic:blipFill>
                    <a:blip r:embed="rId159"/>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2"/>
    <w:bookmarkStart w:id="163"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hoạt động kinh doanh của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3"/>
    <w:bookmarkStart w:id="164"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Bậc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4"/>
    <w:bookmarkStart w:id="174"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cấu trúc rõ rệt nổi lên trong đó cường độ của các tương quan thô suy giảm dần (đến mức triệt tiêu ở SIDS)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141</m:t>
        </m:r>
      </m:oMath>
      <w:r>
        <w:t xml:space="preserve"> </w:t>
      </w:r>
      <w:r>
        <w:t xml:space="preserve">ở Nhóm I, qua</w:t>
      </w:r>
      <w:r>
        <w:t xml:space="preserve"> </w:t>
      </w:r>
      <m:oMath>
        <m:r>
          <m:rPr>
            <m:sty m:val="p"/>
          </m:rPr>
          <m:t>+</m:t>
        </m:r>
        <m:r>
          <m:t>0</m:t>
        </m:r>
        <m:r>
          <m:rPr>
            <m:sty m:val="p"/>
          </m:rPr>
          <m:t>,</m:t>
        </m:r>
        <m:r>
          <m:t>122</m:t>
        </m:r>
      </m:oMath>
      <w:r>
        <w:t xml:space="preserve"> </w:t>
      </w:r>
      <w:r>
        <w:t xml:space="preserve">ở Nhóm II,</w:t>
      </w:r>
      <w:r>
        <w:t xml:space="preserve"> </w:t>
      </w:r>
      <m:oMath>
        <m:r>
          <m:rPr>
            <m:sty m:val="p"/>
          </m:rPr>
          <m:t>+</m:t>
        </m:r>
        <m:r>
          <m:t>0</m:t>
        </m:r>
        <m:r>
          <m:rPr>
            <m:sty m:val="p"/>
          </m:rPr>
          <m:t>,</m:t>
        </m:r>
        <m:r>
          <m:t>061</m:t>
        </m:r>
      </m:oMath>
      <w:r>
        <w:t xml:space="preserve"> </w:t>
      </w:r>
      <w:r>
        <w:t xml:space="preserve">ở Nhóm III,</w:t>
      </w:r>
      <w:r>
        <w:t xml:space="preserve"> </w:t>
      </w:r>
      <m:oMath>
        <m:r>
          <m:rPr>
            <m:sty m:val="p"/>
          </m:rPr>
          <m:t>+</m:t>
        </m:r>
        <m:r>
          <m:t>0</m:t>
        </m:r>
        <m:r>
          <m:rPr>
            <m:sty m:val="p"/>
          </m:rPr>
          <m:t>,</m:t>
        </m:r>
        <m:r>
          <m:t>049</m:t>
        </m:r>
      </m:oMath>
      <w:r>
        <w:t xml:space="preserve"> </w:t>
      </w:r>
      <w:r>
        <w:t xml:space="preserve">ở Nhóm IV,</w:t>
      </w:r>
      <w:r>
        <w:t xml:space="preserve"> </w:t>
      </w:r>
      <m:oMath>
        <m:r>
          <m:rPr>
            <m:sty m:val="p"/>
          </m:rPr>
          <m:t>+</m:t>
        </m:r>
        <m:r>
          <m:t>0</m:t>
        </m:r>
        <m:r>
          <m:rPr>
            <m:sty m:val="p"/>
          </m:rPr>
          <m:t>,</m:t>
        </m:r>
        <m:r>
          <m:t>015</m:t>
        </m:r>
      </m:oMath>
      <w:r>
        <w:t xml:space="preserve"> </w:t>
      </w:r>
      <w:r>
        <w:t xml:space="preserve">ở Nhóm V, rồi mất ý nghĩa thống kê ở SIDS (</w:t>
      </w:r>
      <m:oMath>
        <m:r>
          <m:rPr>
            <m:sty m:val="p"/>
          </m:rPr>
          <m:t>+</m:t>
        </m:r>
        <m:r>
          <m:t>0</m:t>
        </m:r>
        <m:r>
          <m:rPr>
            <m:sty m:val="p"/>
          </m:rPr>
          <m:t>,</m:t>
        </m:r>
        <m:r>
          <m:t>002</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nhóm duy nhất nơi tương quan này triệt tiêu hoàn toàn (gần 0, không ý nghĩa),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Phổ năng lực công nghệ theo sáu nhóm ICRV" title="" id="166" name="Picture"/>
            <a:graphic>
              <a:graphicData uri="http://schemas.openxmlformats.org/drawingml/2006/picture">
                <pic:pic>
                  <pic:nvPicPr>
                    <pic:cNvPr descr="figures/fig_icrv_capability_gradient.png" id="167" name="Picture"/>
                    <pic:cNvPicPr>
                      <a:picLocks noChangeArrowheads="1" noChangeAspect="1"/>
                    </pic:cNvPicPr>
                  </pic:nvPicPr>
                  <pic:blipFill>
                    <a:blip r:embed="rId165"/>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Phổ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094</m:t>
        </m:r>
      </m:oMath>
      <w:r>
        <w:t xml:space="preserve"> </w:t>
      </w:r>
      <w:r>
        <w:t xml:space="preserve">ở SIDS đến</w:t>
      </w:r>
      <w:r>
        <w:t xml:space="preserve"> </w:t>
      </w:r>
      <m:oMath>
        <m:r>
          <m:rPr>
            <m:sty m:val="p"/>
          </m:rPr>
          <m:t>+</m:t>
        </m:r>
        <m:r>
          <m:t>0</m:t>
        </m:r>
        <m:r>
          <m:rPr>
            <m:sty m:val="p"/>
          </m:rPr>
          <m:t>,</m:t>
        </m:r>
        <m:r>
          <m:t>180</m:t>
        </m:r>
      </m:oMath>
      <w:r>
        <w:t xml:space="preserve"> </w:t>
      </w:r>
      <w:r>
        <w:t xml:space="preserve">ở Nhóm 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105</m:t>
        </m:r>
      </m:oMath>
      <w:r>
        <w:t xml:space="preserve"> </w:t>
      </w:r>
      <w:r>
        <w:t xml:space="preserve">và SIDS</w:t>
      </w:r>
      <w:r>
        <w:t xml:space="preserve"> </w:t>
      </w:r>
      <m:oMath>
        <m:r>
          <m:rPr>
            <m:sty m:val="p"/>
          </m:rPr>
          <m:t>+</m:t>
        </m:r>
        <m:r>
          <m:t>0</m:t>
        </m:r>
        <m:r>
          <m:rPr>
            <m:sty m:val="p"/>
          </m:rPr>
          <m:t>,</m:t>
        </m:r>
        <m:r>
          <m:t>104</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69" name="Picture"/>
            <a:graphic>
              <a:graphicData uri="http://schemas.openxmlformats.org/drawingml/2006/picture">
                <pic:pic>
                  <pic:nvPicPr>
                    <pic:cNvPr descr="figures/fig_4_2_productivity_density.png" id="170" name="Picture"/>
                    <pic:cNvPicPr>
                      <a:picLocks noChangeArrowheads="1" noChangeAspect="1"/>
                    </pic:cNvPicPr>
                  </pic:nvPicPr>
                  <pic:blipFill>
                    <a:blip r:embed="rId168"/>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2</m:t>
        </m:r>
      </m:oMath>
      <w:r>
        <w:t xml:space="preserve"> </w:t>
      </w:r>
      <w:r>
        <w:t xml:space="preserve">lần ở Nhóm I lên</w:t>
      </w:r>
      <w:r>
        <w:t xml:space="preserve"> </w:t>
      </w:r>
      <m:oMath>
        <m:r>
          <m:t>5</m:t>
        </m:r>
        <m:r>
          <m:rPr>
            <m:sty m:val="p"/>
          </m:rPr>
          <m:t>,</m:t>
        </m:r>
        <m:r>
          <m:t>5</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72" name="Picture"/>
            <a:graphic>
              <a:graphicData uri="http://schemas.openxmlformats.org/drawingml/2006/picture">
                <pic:pic>
                  <pic:nvPicPr>
                    <pic:cNvPr descr="figures/fig_4_7_spider_chart.png" id="173" name="Picture"/>
                    <pic:cNvPicPr>
                      <a:picLocks noChangeArrowheads="1" noChangeAspect="1"/>
                    </pic:cNvPicPr>
                  </pic:nvPicPr>
                  <pic:blipFill>
                    <a:blip r:embed="rId171"/>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Bậc 1) lại thấp nhất ở Nhóm I (</w:t>
      </w:r>
      <m:oMath>
        <m:r>
          <m:rPr>
            <m:sty m:val="p"/>
          </m:rPr>
          <m:t>+</m:t>
        </m:r>
        <m:r>
          <m:t>0</m:t>
        </m:r>
        <m:r>
          <m:rPr>
            <m:sty m:val="p"/>
          </m:rPr>
          <m:t>,</m:t>
        </m:r>
        <m:r>
          <m:t>093</m:t>
        </m:r>
      </m:oMath>
      <w:r>
        <w:t xml:space="preserve">), trong khi cao nhất ở Nhóm II (</w:t>
      </w:r>
      <m:oMath>
        <m:r>
          <m:rPr>
            <m:sty m:val="p"/>
          </m:rPr>
          <m:t>+</m:t>
        </m:r>
        <m:r>
          <m:t>0</m:t>
        </m:r>
        <m:r>
          <m:rPr>
            <m:sty m:val="p"/>
          </m:rPr>
          <m:t>,</m:t>
        </m:r>
        <m:r>
          <m:t>202</m:t>
        </m:r>
      </m:oMath>
      <w:r>
        <w:t xml:space="preserve">) và Nhóm IV (</w:t>
      </w:r>
      <m:oMath>
        <m:r>
          <m:rPr>
            <m:sty m:val="p"/>
          </m:rPr>
          <m:t>+</m:t>
        </m:r>
        <m:r>
          <m:t>0</m:t>
        </m:r>
        <m:r>
          <m:rPr>
            <m:sty m:val="p"/>
          </m:rPr>
          <m:t>,</m:t>
        </m:r>
        <m:r>
          <m:t>183</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Bậc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4"/>
    <w:bookmarkStart w:id="175"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5"/>
    <w:bookmarkStart w:id="176" w:name="Xe41dbabf46811951e2d003231fb8e958f9ec50f"/>
    <w:p>
      <w:pPr>
        <w:pStyle w:val="Heading3"/>
      </w:pPr>
      <w:r>
        <w:t xml:space="preserve">4.1.8 Phổ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Nổi bật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6"/>
    <w:bookmarkEnd w:id="177"/>
    <w:bookmarkStart w:id="186" w:name="X793daa8b2eddd060588462e198e78f93f4f770d"/>
    <w:p>
      <w:pPr>
        <w:pStyle w:val="Heading2"/>
      </w:pPr>
      <w:r>
        <w:t xml:space="preserve">4.2 Kết quả tổng hợp định lượng: phân tích tổng hợp ba tầng (P6)</w:t>
      </w:r>
    </w:p>
    <w:bookmarkStart w:id="178" w:name="chỉ-số-hiệu-ứng-tổng-hợp"/>
    <w:p>
      <w:pPr>
        <w:pStyle w:val="Heading3"/>
      </w:pPr>
      <w:r>
        <w:t xml:space="preserve">4.2.1 Chỉ số hiệu ứng tổng hợp</w:t>
      </w:r>
    </w:p>
    <w:p>
      <w:pPr>
        <w:pStyle w:val="FirstParagraph"/>
      </w:pPr>
      <w:r>
        <w:t xml:space="preserve">Phân tích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phân tích tổng hợp trước đây của Bausch và Krist (2007), Kirca et al. (2012), Marano et al. (2016) và Arte và Larimo (2022): mối quan hệ tổng hợp giữa quốc tế hóa và hiệu quả hoạt động là dương nhưng có biên độ khiêm tốn. Đặt trong dải bằng chứng quốc tế,</w:t>
      </w:r>
      <w:r>
        <w:t xml:space="preserve"> </w:t>
      </w:r>
      <m:oMath>
        <m:r>
          <m:t>r</m:t>
        </m:r>
        <m:r>
          <m:rPr>
            <m:sty m:val="p"/>
          </m:rPr>
          <m:t>=</m:t>
        </m:r>
        <m:r>
          <m:t>0</m:t>
        </m:r>
        <m:r>
          <m:rPr>
            <m:sty m:val="p"/>
          </m:rPr>
          <m:t>,</m:t>
        </m:r>
        <m:r>
          <m:t>074</m:t>
        </m:r>
      </m:oMath>
      <w:r>
        <w:t xml:space="preserve"> </w:t>
      </w:r>
      <w:r>
        <w:t xml:space="preserve">nằm ở cận dưới của khoảng mà các phân tích tổng hợp toàn cầu báo cáo (Bausch và Krist, 2007:</w:t>
      </w:r>
      <w:r>
        <w:t xml:space="preserve"> </w:t>
      </w:r>
      <m:oMath>
        <m:r>
          <m:t>r</m:t>
        </m:r>
        <m:r>
          <m:rPr>
            <m:sty m:val="p"/>
          </m:rPr>
          <m:t>≈</m:t>
        </m:r>
        <m:r>
          <m:t>0</m:t>
        </m:r>
        <m:r>
          <m:rPr>
            <m:sty m:val="p"/>
          </m:rPr>
          <m:t>,</m:t>
        </m:r>
        <m:r>
          <m:t>10</m:t>
        </m:r>
      </m:oMath>
      <w:r>
        <w:t xml:space="preserve">; Marano et al., 2016:</w:t>
      </w:r>
      <w:r>
        <w:t xml:space="preserve"> </w:t>
      </w:r>
      <m:oMath>
        <m:r>
          <m:t>r</m:t>
        </m:r>
        <m:r>
          <m:rPr>
            <m:sty m:val="p"/>
          </m:rPr>
          <m:t>≈</m:t>
        </m:r>
        <m:r>
          <m:t>0</m:t>
        </m:r>
        <m:r>
          <m:rPr>
            <m:sty m:val="p"/>
          </m:rPr>
          <m:t>,</m:t>
        </m:r>
        <m:r>
          <m:t>07</m:t>
        </m:r>
      </m:oMath>
      <w:r>
        <w:t xml:space="preserve">–</w:t>
      </w:r>
      <m:oMath>
        <m:r>
          <m:t>0</m:t>
        </m:r>
        <m:r>
          <m:rPr>
            <m:sty m:val="p"/>
          </m:rPr>
          <m:t>,</m:t>
        </m:r>
        <m:r>
          <m:t>13</m:t>
        </m:r>
      </m:oMath>
      <w:r>
        <w:t xml:space="preserve">) và đặc biệt gần với các phân tích tổng hợp tập trung vào doanh nghiệp đa quốc gia thị trường mới nổi, vốn cũng ghi nhận hiệu ứng dương nhỏ kèm dị biệt rất cao (Wu et al., 2022); sự tương hợp này định vị P6 ở cận dưới của tài liệu quốc tế thay vì như một ngoại lệ.</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78"/>
    <w:bookmarkStart w:id="179"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2"/>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2"/>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79"/>
    <w:bookmarkStart w:id="180"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80"/>
    <w:bookmarkStart w:id="181"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81"/>
    <w:bookmarkStart w:id="182"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57</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44.782</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Tóm lại, bằng chứng lệch lạc công bố được xác nhận qua kiểm định Begg–Mazumdar có ý nghĩa (</w:t>
      </w:r>
      <m:oMath>
        <m:r>
          <m:t>p</m:t>
        </m:r>
        <m:r>
          <m:rPr>
            <m:sty m:val="p"/>
          </m:rPr>
          <m:t>=</m:t>
        </m:r>
        <m:r>
          <m:rPr>
            <m:sty m:val="p"/>
          </m:rPr>
          <m:t>,</m:t>
        </m:r>
        <m:r>
          <m:t>001</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thiết lập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thiết lập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82"/>
    <w:bookmarkStart w:id="183"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thiết lập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3"/>
    <w:bookmarkStart w:id="184" w:name="X4ce2f94328eb8320e9ed059e2c3fb4dd7d1a97a"/>
    <w:p>
      <w:pPr>
        <w:pStyle w:val="Heading3"/>
      </w:pPr>
      <w:r>
        <w:t xml:space="preserve">4.2.6 Phổ hiệu ứng theo nhóm thể chế và giới hạn của bằng chứng định hướng</w:t>
      </w:r>
    </w:p>
    <w:p>
      <w:pPr>
        <w:pStyle w:val="FirstParagraph"/>
      </w:pPr>
      <w:r>
        <w:t xml:space="preserve">Bảng hệ số gộp theo từng nhóm ICRV cho thấy một kết quả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4"/>
    <w:bookmarkStart w:id="185"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487</m:t>
        </m:r>
      </m:oMath>
      <w:r>
        <w:t xml:space="preserve">,</w:t>
      </w:r>
      <w:r>
        <w:t xml:space="preserve"> </w:t>
      </w:r>
      <m:oMath>
        <m:r>
          <m:t>p</m:t>
        </m:r>
        <m:r>
          <m:rPr>
            <m:sty m:val="p"/>
          </m:rPr>
          <m:t>=</m:t>
        </m:r>
        <m:r>
          <m:rPr>
            <m:sty m:val="p"/>
          </m:rPr>
          <m:t>,</m:t>
        </m:r>
        <m:r>
          <m:t>052</m:t>
        </m:r>
      </m:oMath>
      <w:r>
        <w:t xml:space="preserve">) trong khi kiểm định thứ hạng Begg–Mazumdar lại có ý nghĩa (</w:t>
      </w:r>
      <m:oMath>
        <m:r>
          <m:t>τ</m:t>
        </m:r>
        <m:r>
          <m:rPr>
            <m:sty m:val="p"/>
          </m:rPr>
          <m:t>=</m:t>
        </m:r>
        <m:r>
          <m:rPr>
            <m:sty m:val="p"/>
          </m:rPr>
          <m:t>−</m:t>
        </m:r>
        <m:r>
          <m:t>0</m:t>
        </m:r>
        <m:r>
          <m:rPr>
            <m:sty m:val="p"/>
          </m:rPr>
          <m:t>,</m:t>
        </m:r>
        <m:r>
          <m:t>132</m:t>
        </m:r>
      </m:oMath>
      <w:r>
        <w:t xml:space="preserve">,</w:t>
      </w:r>
      <w:r>
        <w:t xml:space="preserve"> </w:t>
      </w:r>
      <m:oMath>
        <m:r>
          <m:t>p</m:t>
        </m:r>
        <m:r>
          <m:rPr>
            <m:sty m:val="p"/>
          </m:rPr>
          <m:t>=</m:t>
        </m:r>
        <m:r>
          <m:rPr>
            <m:sty m:val="p"/>
          </m:rPr>
          <m:t>,</m:t>
        </m:r>
        <m:r>
          <m:t>001</m:t>
        </m:r>
      </m:oMath>
      <w:r>
        <w:t xml:space="preserve">), nên bằng chứng bất đối xứng dựa trên Egger đơn lẻ không được khẳng định. Quy trình cắt-và-điền (trim-and-fill) gán thêm 57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018</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44.782</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Nhìn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5"/>
    <w:bookmarkEnd w:id="186"/>
    <w:bookmarkStart w:id="196" w:name="Xae571c1410747d630a72c4d12985bac375822ae"/>
    <w:p>
      <w:pPr>
        <w:pStyle w:val="Heading2"/>
      </w:pPr>
      <w:r>
        <w:t xml:space="preserve">4.3 Kết quả bối cảnh thể chế tiên tiến đổi mới: Singapore (P4)</w:t>
      </w:r>
    </w:p>
    <w:bookmarkStart w:id="187"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hoạt động kinh doanh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87"/>
    <w:bookmarkStart w:id="188"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(bao gồm cả Bậc 1 và Bậc 2 của chỉ số DAI) cho thấy hiệu ứng khuếch đại (amplification) tại mức FSTS cao: hệ số tương tác</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88"/>
    <w:bookmarkStart w:id="189"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89"/>
    <w:bookmarkStart w:id="190"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mô hình cuối.</w:t>
      </w:r>
    </w:p>
    <w:bookmarkEnd w:id="190"/>
    <w:bookmarkStart w:id="191"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mô hình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91"/>
    <w:bookmarkStart w:id="192" w:name="Xb551b0690edc79caca1b03b187a531e4ea21dea"/>
    <w:p>
      <w:pPr>
        <w:pStyle w:val="Heading3"/>
      </w:pPr>
      <w:r>
        <w:t xml:space="preserve">4.3.6 Cơ chế lá chắn số: tương tác Bậc 1–Bậc 2 và hiệu ứng biên theo cường độ xuất khẩu</w:t>
      </w:r>
    </w:p>
    <w:p>
      <w:pPr>
        <w:pStyle w:val="FirstParagraph"/>
      </w:pPr>
      <w:r>
        <w:t xml:space="preserve">Bằng chứng mạnh nhất về vai trò của DAI xuất hiện ở các mô hình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mô hình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mô hình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92"/>
    <w:bookmarkStart w:id="193"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3"/>
    <w:bookmarkStart w:id="194"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mô hình chính trên mẫu Singapore. Hạng cường độ xuất khẩu tuyến tính dương và có ý nghĩa cao ở mọi mô hình,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mô hình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mô hình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m:oMath>
              <m:sSup>
                <m:e>
                  <m:r>
                    <m:rPr>
                      <m:nor/>
                      <m:sty m:val="p"/>
                    </m:rPr>
                    <m:t>FSTS</m:t>
                  </m:r>
                </m:e>
                <m:sup>
                  <m:r>
                    <m:t>2</m:t>
                  </m:r>
                </m:sup>
              </m:sSup>
            </m:oMath>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m:oMath>
              <m:r>
                <m:rPr>
                  <m:nor/>
                  <m:sty m:val="p"/>
                </m:rPr>
                <m:t>FSTS</m:t>
              </m:r>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mô hình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mô hình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4"/>
    <w:bookmarkStart w:id="195"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mô hình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mô hình OLS được giữ làm mô hình chính. Tóm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Bậc 2 sẵn có về mặt thể chế làm cơ chế mở rộng quy mô có điều kiện trở nên nhận diện được về thực nghiệm.</w:t>
      </w:r>
    </w:p>
    <w:p>
      <w:r>
        <w:pict>
          <v:rect style="width:0;height:1.5pt" o:hralign="center" o:hrstd="t" o:hr="t"/>
        </w:pict>
      </w:r>
    </w:p>
    <w:bookmarkEnd w:id="195"/>
    <w:bookmarkEnd w:id="196"/>
    <w:bookmarkStart w:id="205" w:name="Xabe361c2d5961cf19ce7ab2bd5d9bc6d758140a"/>
    <w:p>
      <w:pPr>
        <w:pStyle w:val="Heading2"/>
      </w:pPr>
      <w:r>
        <w:t xml:space="preserve">4.4 Kết quả bối cảnh thể chế trung bình cao: Trung Quốc, 2012–2024 (P5)</w:t>
      </w:r>
    </w:p>
    <w:bookmarkStart w:id="197"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kinh doanh của doanh nghiệp. Điểm điểm uốn được ước lượng tại:</w:t>
      </w:r>
    </w:p>
    <w:p>
      <w:pPr>
        <w:numPr>
          <w:ilvl w:val="0"/>
          <w:numId w:val="1013"/>
        </w:numPr>
        <w:pStyle w:val="Compact"/>
      </w:pPr>
      <w:r>
        <w:rPr>
          <w:bCs/>
          <w:b/>
        </w:rPr>
        <w:t xml:space="preserve">Năm 2012</w:t>
      </w:r>
      <w:r>
        <w:t xml:space="preserve">: TP = 49,37% FSTS</w:t>
      </w:r>
    </w:p>
    <w:p>
      <w:pPr>
        <w:numPr>
          <w:ilvl w:val="0"/>
          <w:numId w:val="1013"/>
        </w:numPr>
        <w:pStyle w:val="Compact"/>
      </w:pPr>
      <w:r>
        <w:rPr>
          <w:bCs/>
          <w:b/>
        </w:rPr>
        <w:t xml:space="preserve">Năm 2024</w:t>
      </w:r>
      <w:r>
        <w:t xml:space="preserve">: TP = 47,19% FSTS</w:t>
      </w:r>
    </w:p>
    <w:p>
      <w:pPr>
        <w:numPr>
          <w:ilvl w:val="0"/>
          <w:numId w:val="1013"/>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97"/>
    <w:bookmarkStart w:id="198"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98"/>
    <w:bookmarkStart w:id="199" w:name="vai-trò-của-tci-và-dai"/>
    <w:p>
      <w:pPr>
        <w:pStyle w:val="Heading3"/>
      </w:pPr>
      <w:r>
        <w:t xml:space="preserve">4.4.3 Vai trò của TCI và DAI</w:t>
      </w:r>
    </w:p>
    <w:p>
      <w:pPr>
        <w:pStyle w:val="FirstParagraph"/>
      </w:pPr>
      <w:r>
        <w:t xml:space="preserve">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không đạt ý nghĩa thống kê (điều tiết không có ý nghĩa,</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199"/>
    <w:bookmarkStart w:id="200" w:name="Xff6260f0292f1de2c718a7cc22e284da4d4195e"/>
    <w:p>
      <w:pPr>
        <w:pStyle w:val="Heading3"/>
      </w:pPr>
      <w:r>
        <w:t xml:space="preserve">4.4.4 Bộ hệ số mô hình ngưỡng chính (M2) và độ lớn kinh tế</w:t>
      </w:r>
    </w:p>
    <w:p>
      <w:pPr>
        <w:pStyle w:val="FirstParagraph"/>
      </w:pPr>
      <w:r>
        <w:t xml:space="preserve">Mô hình ngưỡng chính M2 (mô hình</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200"/>
    <w:bookmarkStart w:id="201"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mô hình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201"/>
    <w:bookmarkStart w:id="202"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mô hình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Cần lưu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202"/>
    <w:bookmarkStart w:id="203"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3"/>
    <w:bookmarkStart w:id="204"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mô hình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4"/>
    <w:bookmarkEnd w:id="205"/>
    <w:bookmarkStart w:id="217" w:name="Xdbd5cc67084304ba85b73781c0cb0c00b74055b"/>
    <w:p>
      <w:pPr>
        <w:pStyle w:val="Heading2"/>
      </w:pPr>
      <w:r>
        <w:t xml:space="preserve">4.5 Kết quả bối cảnh chuyển đổi bậc thấp–trung: Việt Nam (P3)</w:t>
      </w:r>
    </w:p>
    <w:bookmarkStart w:id="206"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6"/>
    <w:bookmarkStart w:id="207"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07"/>
    <w:bookmarkStart w:id="208"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08"/>
    <w:bookmarkStart w:id="209"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(chỉ bao gồm Bậc 1 DAI do giới hạn đo lường WBES trong các làn sóng này) cho kết quả yếu dương nhưng không có ý nghĩa thống kê. Kết quả này có thể phản ánh hạn chế về đo lường: Bậc 1 DAI chỉ nắm bắt mức độ chấp nhận số bề mặt (website, email, online sales) chứ không đo lường được chiều sâu năng lực số. Với dữ liệu WBES Việt Nam chỉ cung cấp Bậc 1, không đủ phân biệt để phát hiện hiệu ứng điều tiết tinh tế hơn.</w:t>
      </w:r>
    </w:p>
    <w:bookmarkEnd w:id="209"/>
    <w:bookmarkStart w:id="210"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10"/>
    <w:bookmarkStart w:id="211"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11"/>
    <w:bookmarkStart w:id="212"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(biên tham gia), chứ không phải độ cong cường độ trong nhóm doanh nghiệp xuất khẩu (biên cường độ).</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Bậc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12"/>
    <w:bookmarkStart w:id="213"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213"/>
    <w:bookmarkStart w:id="214"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mô hình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4"/>
    <w:bookmarkStart w:id="215" w:name="X74521efb953a9ebb566aa1fa0342a1606d94df2"/>
    <w:p>
      <w:pPr>
        <w:pStyle w:val="Heading3"/>
      </w:pPr>
      <w:r>
        <w:t xml:space="preserve">4.5.10 Củng cố độ vững: tách ngành, mô hình bậc ba và bộ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mô hình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mô hình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mô hình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5"/>
    <w:bookmarkStart w:id="216"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6"/>
    <w:bookmarkEnd w:id="217"/>
    <w:bookmarkStart w:id="229" w:name="X561afa853383c674354c1acb167a55cae3a018f"/>
    <w:p>
      <w:pPr>
        <w:pStyle w:val="Heading2"/>
      </w:pPr>
      <w:r>
        <w:t xml:space="preserve">4.6 Kết quả kiểm định toàn mẫu đa bối cảnh châu Á (P7)</w:t>
      </w:r>
    </w:p>
    <w:bookmarkStart w:id="218"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mô hình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mô hình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mô hình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Mô hình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w:t>
            </w:r>
            <w:r>
              <w:t xml:space="preserve"> </w:t>
            </w:r>
            <m:oMath>
              <m:sSup>
                <m:e>
                  <m:r>
                    <m:rPr>
                      <m:nor/>
                      <m:sty m:val="p"/>
                    </m:rPr>
                    <m:t>FSTS</m:t>
                  </m:r>
                </m:e>
                <m:sup>
                  <m:r>
                    <m:t>2</m:t>
                  </m:r>
                </m:sup>
              </m:sSup>
            </m:oMath>
            <w:r>
              <w:t xml:space="preserve">,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đặc tả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18"/>
    <w:bookmarkStart w:id="222"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hình ảnh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20" name="Picture"/>
            <a:graphic>
              <a:graphicData uri="http://schemas.openxmlformats.org/drawingml/2006/picture">
                <pic:pic>
                  <pic:nvPicPr>
                    <pic:cNvPr descr="figures/fig_4_x_ip_curves_icrv_gradient.png" id="221" name="Picture"/>
                    <pic:cNvPicPr>
                      <a:picLocks noChangeArrowheads="1" noChangeAspect="1"/>
                    </pic:cNvPicPr>
                  </pic:nvPicPr>
                  <pic:blipFill>
                    <a:blip r:embed="rId219"/>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đặc tả mức của P8).</w:t>
      </w:r>
      <w:r>
        <w:t xml:space="preserve"> </w:t>
      </w:r>
      <w:r>
        <w:rPr>
          <w:iCs/>
          <w:i/>
        </w:rPr>
        <w:t xml:space="preserve">Nguồn: minh họa của tác giả từ kết quả ước lượng 50 nền và P4, P8.</w:t>
      </w:r>
    </w:p>
    <w:bookmarkEnd w:id="222"/>
    <w:bookmarkStart w:id="223" w:name="điều-tiết-bởi-tci-và-dai-trong-toàn-mẫu"/>
    <w:p>
      <w:pPr>
        <w:pStyle w:val="Heading3"/>
      </w:pPr>
      <w:r>
        <w:t xml:space="preserve">4.6.3 Điều tiết bởi TCI và DAI trong toàn mẫu</w:t>
      </w:r>
    </w:p>
    <w:p>
      <w:pPr>
        <w:numPr>
          <w:ilvl w:val="0"/>
          <w:numId w:val="1014"/>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4"/>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Bậc 1 (hiện diện web), nơi công cụ số chưa đủ chiều sâu để uốn đường cong, trong khi hiệu ứng uốn mạnh ở Singapore gắn với năng lực số Bậc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223"/>
    <w:bookmarkStart w:id="224"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Mô hình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(mô hình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mô hình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4"/>
    <w:bookmarkStart w:id="225"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Cụ thể hơn, điều tiết thể chế là điều tiết về sự tồn tại của dạng hàm, không phải điều tiết về vị trí của một điểm uốn phổ quát.</w:t>
      </w:r>
    </w:p>
    <w:bookmarkEnd w:id="225"/>
    <w:bookmarkStart w:id="226"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226"/>
    <w:bookmarkStart w:id="227"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trong một dải hẹp ở từng vùng dù được ước lượng trên các mẫu, công cụ khảo sát và mô hình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rằng điểm uốn vùng giữa là một quy luật cấu trúc chứ không phải tạo tác của một mẫu đơn lẻ. Cần đọc đây như một</w:t>
      </w:r>
      <w:r>
        <w:t xml:space="preserve"> </w:t>
      </w:r>
      <w:r>
        <w:rPr>
          <w:bCs/>
          <w:b/>
        </w:rPr>
        <w:t xml:space="preserve">hội tụ dải</w:t>
      </w:r>
      <w:r>
        <w:t xml:space="preserve"> </w:t>
      </w:r>
      <w:r>
        <w:t xml:space="preserve">(trong khoảng</w:t>
      </w:r>
      <w:r>
        <w:t xml:space="preserve"> </w:t>
      </w:r>
      <m:oMath>
        <m:r>
          <m:rPr>
            <m:sty m:val="p"/>
          </m:rPr>
          <m:t>±</m:t>
        </m:r>
        <m:r>
          <m:t>5</m:t>
        </m:r>
      </m:oMath>
      <w:r>
        <w:t xml:space="preserve"> </w:t>
      </w:r>
      <w:r>
        <w:t xml:space="preserve">điểm phần trăm quanh mốc Nhóm IV) chứ không phải một sự trùng khớp điểm: điểm uốn Trung Quốc (</w:t>
      </w:r>
      <m:oMath>
        <m:r>
          <m:rPr>
            <m:sty m:val="p"/>
          </m:rPr>
          <m:t>≈</m:t>
        </m:r>
        <m:r>
          <m:t>48</m:t>
        </m:r>
        <m:r>
          <m:rPr>
            <m:sty m:val="p"/>
          </m:rPr>
          <m:t>,</m:t>
        </m:r>
        <m:r>
          <m:t>8</m:t>
        </m:r>
        <m:r>
          <m:rPr>
            <m:sty m:val="p"/>
          </m:rPr>
          <m:t>%</m:t>
        </m:r>
      </m:oMath>
      <w:r>
        <w:t xml:space="preserve">, Nhóm III) nằm</w:t>
      </w:r>
      <w:r>
        <w:t xml:space="preserve"> </w:t>
      </w:r>
      <w:r>
        <w:rPr>
          <w:bCs/>
          <w:b/>
        </w:rPr>
        <w:t xml:space="preserve">lân cận</w:t>
      </w:r>
      <w:r>
        <w:t xml:space="preserve"> </w:t>
      </w:r>
      <w:r>
        <w:t xml:space="preserve">dải này chứ không trùng, và điểm uốn Ấn Độ di động ngay trong Nhóm IV theo thời gian (61,8% năm 2014 → 40,7% năm 2022; Mục 4.8), cho thấy vị trí điểm uốn theo chế độ là một dải đặc trưng có biến thiên nội nhóm chứ không phải một hằng số cấu trúc tuyệt đối.</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227"/>
    <w:bookmarkStart w:id="228"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T</m:t>
        </m:r>
        <m:r>
          <m:rPr>
            <m:sty m:val="p"/>
          </m:rPr>
          <m:t>C</m:t>
        </m:r>
        <m:r>
          <m:rPr>
            <m:sty m:val="p"/>
          </m:rPr>
          <m:t>I</m:t>
        </m:r>
      </m:oMath>
      <w:r>
        <w:t xml:space="preserve">,</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Bậc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228"/>
    <w:bookmarkEnd w:id="229"/>
    <w:bookmarkStart w:id="241" w:name="X42f69945b56833cca239d45dc5864a7be6f74d7"/>
    <w:p>
      <w:pPr>
        <w:pStyle w:val="Heading2"/>
      </w:pPr>
      <w:r>
        <w:t xml:space="preserve">4.7 Kết quả trường hợp biên SIDS: Các nền kinh tế đảo nhỏ đang phát triển (P8)</w:t>
      </w:r>
    </w:p>
    <w:bookmarkStart w:id="230"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30"/>
    <w:bookmarkStart w:id="234"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mô hình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232" name="Picture"/>
            <a:graphic>
              <a:graphicData uri="http://schemas.openxmlformats.org/drawingml/2006/picture">
                <pic:pic>
                  <pic:nvPicPr>
                    <pic:cNvPr descr="figures/fig_4_7_1_sids_inversion.png" id="233" name="Picture"/>
                    <pic:cNvPicPr>
                      <a:picLocks noChangeArrowheads="1" noChangeAspect="1"/>
                    </pic:cNvPicPr>
                  </pic:nvPicPr>
                  <pic:blipFill>
                    <a:blip r:embed="rId231"/>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dấu hiệu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234"/>
    <w:bookmarkStart w:id="235"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hoạt động kinh doanh của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235"/>
    <w:bookmarkStart w:id="236"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36"/>
    <w:bookmarkStart w:id="237"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37"/>
    <w:bookmarkStart w:id="238"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dấu hiệu đặc trưng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38"/>
    <w:bookmarkStart w:id="239" w:name="X43aaaec6098e02f393fbba06055f5eafb097236"/>
    <w:p>
      <w:pPr>
        <w:pStyle w:val="Heading3"/>
      </w:pPr>
      <w:r>
        <w:t xml:space="preserve">4.7.7 Mô thức dấu của hệ số FIP qua các mô hình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mô hình,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mô hình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239"/>
    <w:bookmarkStart w:id="240"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mô hình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240"/>
    <w:bookmarkEnd w:id="241"/>
    <w:bookmarkStart w:id="250"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Mô hình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đợt</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Bậc 1 (trang web) chung cho cả ba đợt, WBES BREADY cung cấp thêm chỉ báo Bậc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Bậc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Bậc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42"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Bậc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Bậc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42"/>
    <w:bookmarkStart w:id="243" w:name="X831cc447fad3f32e70dc6a6e8cab29a5c412c7c"/>
    <w:p>
      <w:pPr>
        <w:pStyle w:val="Heading3"/>
      </w:pPr>
      <w:r>
        <w:t xml:space="preserve">4.8.2 Mô hình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đợt</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đợt</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Mô hình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43"/>
    <w:bookmarkStart w:id="244"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mô hình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Bậc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Bậc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44"/>
    <w:bookmarkStart w:id="245"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mô hình là tuyến tính thay vì bậc hai.</w:t>
      </w:r>
    </w:p>
    <w:p>
      <w:pPr>
        <w:pStyle w:val="BodyText"/>
      </w:pPr>
      <w:r>
        <w:t xml:space="preserve">Kết quả xác nhận ba mệnh đề. Thứ nhất, mức độ quốc tế hóa tác động âm lên hiệu quả ở mô hình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45"/>
    <w:bookmarkStart w:id="246"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46"/>
    <w:bookmarkStart w:id="247"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mô hình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47"/>
    <w:bookmarkStart w:id="248"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mô hình (R1, R2, R3b, R4) xác nhận mô thức định tính chữ U ngược hiện diện 2014–2022 rồi biến mất 2025; mô hình thứ năm (R3a) xác nhận hiện diện 2022 và biến mất 2025.</w:t>
      </w:r>
    </w:p>
    <w:bookmarkEnd w:id="248"/>
    <w:bookmarkStart w:id="249"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mô hình chính. Đối với tương tác UPI Bậc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(Bậc 2 lấn át Bậc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49"/>
    <w:bookmarkEnd w:id="250"/>
    <w:bookmarkStart w:id="254"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51"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mô hình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m:oMath>
              <m:sSup>
                <m:e>
                  <m:r>
                    <m:rPr>
                      <m:nor/>
                      <m:sty m:val="p"/>
                    </m:rPr>
                    <m:t>FSTS</m:t>
                  </m:r>
                </m:e>
                <m:sup>
                  <m:r>
                    <m:t>2</m:t>
                  </m:r>
                </m:sup>
              </m:sSup>
            </m:oMath>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mô hình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mô hình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mô hình số hạng bậc hai vô nghĩa. Riêng mô hình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phổ ba vùng của thể chế: chữ U ngược ở các chế độ chuyển đổi, gần tuyến tính ở biên trên, mất cấu trúc ở biên dưới.</w:t>
      </w:r>
    </w:p>
    <w:bookmarkEnd w:id="251"/>
    <w:bookmarkStart w:id="252"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Bậc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52"/>
    <w:bookmarkStart w:id="253"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53"/>
    <w:bookmarkEnd w:id="254"/>
    <w:bookmarkStart w:id="255"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Bậc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55"/>
    <w:bookmarkStart w:id="256"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w:t>
            </w:r>
            <m:oMath>
              <m:r>
                <m:t>β</m:t>
              </m:r>
              <m:r>
                <m:rPr>
                  <m:sty m:val="p"/>
                </m:rPr>
                <m:t>=</m:t>
              </m:r>
              <m:r>
                <m:t>0</m:t>
              </m:r>
              <m:r>
                <m:rPr>
                  <m:sty m:val="p"/>
                </m:rPr>
                <m:t>,</m:t>
              </m:r>
              <m:r>
                <m:t>179</m:t>
              </m:r>
            </m:oMath>
            <w:r>
              <w:t xml:space="preserve">, biến công cụ)</w:t>
            </w:r>
          </w:p>
        </w:tc>
        <w:tc>
          <w:tcPr/>
          <w:p>
            <w:pPr>
              <w:pStyle w:val="Compact"/>
              <w:jc w:val="left"/>
            </w:pPr>
            <w:r>
              <w:t xml:space="preserve">không có ý nghĩa (Bậc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(+0,28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(toàn cầu, 49 nền)</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Bậc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mô hình).</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 50 nền); tương tác đường cong cùng chiều nén nhưng không ý nghĩa toàn mẫu; bằng chứng điều tiết rõ nhất ở bối cảnh đơn quốc gia (P4:</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r>
              <w:t xml:space="preserve">); không có ý nghĩa tại Việt Nam (Bậc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Bậc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56"/>
    <w:bookmarkStart w:id="257"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57"/>
    <w:bookmarkStart w:id="258" w:name="chương-5-kết-luận-và-đề-xuất"/>
    <w:p>
      <w:pPr>
        <w:pStyle w:val="Heading1"/>
      </w:pPr>
      <w:r>
        <w:t xml:space="preserve">CHƯƠNG 5: KẾT LUẬN VÀ ĐỀ XUẤT</w:t>
      </w:r>
    </w:p>
    <w:bookmarkEnd w:id="258"/>
    <w:p>
      <w:r>
        <w:pict>
          <v:rect style="width:0;height:1.5pt" o:hralign="center" o:hrstd="t" o:hr="t"/>
        </w:pict>
      </w:r>
    </w:p>
    <w:bookmarkStart w:id="259"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59"/>
    <w:bookmarkStart w:id="268" w:name="Xff8cef3ed320f9cf6f3fba4ff558bfed3af19c6"/>
    <w:p>
      <w:pPr>
        <w:pStyle w:val="Heading2"/>
      </w:pPr>
      <w:r>
        <w:t xml:space="preserve">5.1 Bàn luận kết quả theo khung lý thuyết CDCM</w:t>
      </w:r>
    </w:p>
    <w:bookmarkStart w:id="260" w:name="X59bbe86bb1d3da1717dec30924f73547ba9a500"/>
    <w:p>
      <w:pPr>
        <w:pStyle w:val="Heading3"/>
      </w:pPr>
      <w:r>
        <w:t xml:space="preserve">5.1.1 Phổ ICRV: Xác nhận một phần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w:t>
      </w:r>
      <w:r>
        <w:t xml:space="preserve"> </w:t>
      </w:r>
      <w:r>
        <w:rPr>
          <w:bCs/>
          <w:b/>
        </w:rPr>
        <w:t xml:space="preserve">một phần</w:t>
      </w:r>
      <w:r>
        <w:t xml:space="preserve"> </w:t>
      </w:r>
      <w:r>
        <w:t xml:space="preserve">H5 và tầng thể chế của khung lý thuyết CDCM. Phần</w:t>
      </w:r>
      <w:r>
        <w:t xml:space="preserve"> </w:t>
      </w:r>
      <w:r>
        <w:rPr>
          <w:bCs/>
          <w:b/>
        </w:rPr>
        <w:t xml:space="preserve">lõi</w:t>
      </w:r>
      <w:r>
        <w:t xml:space="preserve"> </w:t>
      </w:r>
      <w:r>
        <w:t xml:space="preserve">của H5 được xác nhận vững từ hai nguồn độc lập: chế độ thể chế quyết định không chỉ một biến điều tiết đơn lẻ mà là</w:t>
      </w:r>
      <w:r>
        <w:t xml:space="preserve"> </w:t>
      </w:r>
      <w:r>
        <w:rPr>
          <w:bCs/>
          <w:b/>
        </w:rPr>
        <w:t xml:space="preserve">cả một chế độ thể chế</w:t>
      </w:r>
      <w:r>
        <w:t xml:space="preserve"> </w:t>
      </w:r>
      <w:r>
        <w:t xml:space="preserve">chi phối sự tồn tại và vị trí của dạng hàm chữ U ngược (kiểm định tổng thể</w:t>
      </w:r>
      <w:r>
        <w:t xml:space="preserve"> </w:t>
      </w:r>
      <m:oMath>
        <m:sSub>
          <m:e>
            <m:r>
              <m:t>Q</m:t>
            </m:r>
          </m:e>
          <m:sub>
            <m:r>
              <m:t>M</m:t>
            </m:r>
          </m:sub>
        </m:sSub>
        <m:r>
          <m:rPr>
            <m:sty m:val="p"/>
          </m:rPr>
          <m:t>=</m:t>
        </m:r>
        <m:r>
          <m:t>17</m:t>
        </m:r>
        <m:r>
          <m:rPr>
            <m:sty m:val="p"/>
          </m:rPr>
          <m:t>,</m:t>
        </m:r>
        <m:r>
          <m:t>35</m:t>
        </m:r>
      </m:oMath>
      <w:r>
        <w:t xml:space="preserve"> </w:t>
      </w:r>
      <w:r>
        <w:t xml:space="preserve">của P6; phổ điểm uốn theo ICRV của P7). Tuy nhiên,</w:t>
      </w:r>
      <w:r>
        <w:t xml:space="preserve"> </w:t>
      </w:r>
      <w:r>
        <w:rPr>
          <w:bCs/>
          <w:b/>
        </w:rPr>
        <w:t xml:space="preserve">định hướng phổ thể chế đơn điệu</w:t>
      </w:r>
      <w:r>
        <w:t xml:space="preserve"> </w:t>
      </w:r>
      <w:r>
        <w:t xml:space="preserve">như H5 phát biểu (tác động mạnh nhất ở nhóm thể chế yếu, giảm dần đến nhóm tiên tiến — vận hành hóa thành mệnh đề thăm dò E1a/E1b)</w:t>
      </w:r>
      <w:r>
        <w:t xml:space="preserve"> </w:t>
      </w:r>
      <w:r>
        <w:rPr>
          <w:bCs/>
          <w:b/>
        </w:rPr>
        <w:t xml:space="preserve">chưa được xác nhận</w:t>
      </w:r>
      <w:r>
        <w:t xml:space="preserve">: ở P6, ý nghĩa của</w:t>
      </w:r>
      <w:r>
        <w:t xml:space="preserve"> </w:t>
      </w:r>
      <m:oMath>
        <m:sSub>
          <m:e>
            <m:r>
              <m:t>Q</m:t>
            </m:r>
          </m:e>
          <m:sub>
            <m:r>
              <m:t>M</m:t>
            </m:r>
          </m:sub>
        </m:sSub>
      </m:oMath>
      <w:r>
        <w:t xml:space="preserve"> </w:t>
      </w:r>
      <w:r>
        <w:t xml:space="preserve">bị chi phối bởi nhóm Frontier</w:t>
      </w:r>
      <w:r>
        <w:t xml:space="preserve"> </w:t>
      </w:r>
      <m:oMath>
        <m:r>
          <m:t>k</m:t>
        </m:r>
        <m:r>
          <m:rPr>
            <m:sty m:val="p"/>
          </m:rPr>
          <m:t>=</m:t>
        </m:r>
        <m:r>
          <m:t>3</m:t>
        </m:r>
      </m:oMath>
      <w:r>
        <w:t xml:space="preserve"> </w:t>
      </w:r>
      <w:r>
        <w:t xml:space="preserve">(một nghiên cứu ngoại lai chi phối), còn các tương phản giữa các nhóm đông quan sát (I, II, III, MX) đều không có ý nghĩa; ở P7, gradient thực nghiệm mang dạng</w:t>
      </w:r>
      <w:r>
        <w:t xml:space="preserve"> </w:t>
      </w:r>
      <w:r>
        <w:rPr>
          <w:bCs/>
          <w:b/>
        </w:rPr>
        <w:t xml:space="preserve">ba vùng phi đơn điệu</w:t>
      </w:r>
      <w:r>
        <w:t xml:space="preserve"> </w:t>
      </w:r>
      <w:r>
        <w:t xml:space="preserve">(chữ U ngược sắc nét ở vùng giữa, duỗi thẳng ở biên trên, mất cấu trúc ở biên dưới) chứ không phải một dốc đơn điệu. Cụ thể hơn, bằng chứng xác nhận rằng thể chế</w:t>
      </w:r>
      <w:r>
        <w:t xml:space="preserve"> </w:t>
      </w:r>
      <w:r>
        <w:rPr>
          <w:iCs/>
          <w:i/>
        </w:rPr>
        <w:t xml:space="preserve">định hình</w:t>
      </w:r>
      <w:r>
        <w:t xml:space="preserve"> </w:t>
      </w:r>
      <w:r>
        <w:t xml:space="preserve">dạng quan hệ, nhưng</w:t>
      </w:r>
      <w:r>
        <w:t xml:space="preserve"> </w:t>
      </w:r>
      <w:r>
        <w:rPr>
          <w:iCs/>
          <w:i/>
        </w:rPr>
        <w:t xml:space="preserve">chiều</w:t>
      </w:r>
      <w:r>
        <w:t xml:space="preserve"> </w:t>
      </w:r>
      <w:r>
        <w:t xml:space="preserve">của phổ thể chế phong phú hơn giả thuyết đơn điệu ban đầu — một tinh chỉnh lý thuyết hơn là một bác bỏ.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60"/>
    <w:bookmarkStart w:id="261" w:name="X09a4922d1c0cba8acfc2d36ce447b46819a36c1"/>
    <w:p>
      <w:pPr>
        <w:pStyle w:val="Heading3"/>
      </w:pPr>
      <w:r>
        <w:t xml:space="preserve">5.1.2 TCI là Năng Lực Nền Tảng: Xác nhận một phần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định hình lại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61"/>
    <w:bookmarkStart w:id="262"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Bậc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Bậc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Bậc 1 DAI (website, email, online sales) chưa nắm bắt được chiều sâu của năng lực số. Khi DAI được đo bằng Bậc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62"/>
    <w:bookmarkStart w:id="263"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(bề rộng so với chiều sâu, breadth vs. depth), một hạn chế đo lường trong WBES cần được khắc phục trong nghiên cứu tương lai.</w:t>
      </w:r>
    </w:p>
    <w:bookmarkEnd w:id="263"/>
    <w:bookmarkStart w:id="264"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hoạt động kinh doanh của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4"/>
    <w:bookmarkStart w:id="265"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Bậc 2 thay thế Bậc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pPr>
        <w:pStyle w:val="BodyText"/>
      </w:pPr>
      <w:r>
        <w:t xml:space="preserve">Đặt trường hợp Ấn Độ cạnh hai bối cảnh chuyển đổi khác làm rõ kết luận về</w:t>
      </w:r>
      <w:r>
        <w:t xml:space="preserve"> </w:t>
      </w:r>
      <w:r>
        <w:rPr>
          <w:bCs/>
          <w:b/>
        </w:rPr>
        <w:t xml:space="preserve">dị biệt thời gian (H6)</w:t>
      </w:r>
      <w:r>
        <w:t xml:space="preserve">, vốn được kiểm định trực tiếp ở P5 và P3: tại Trung Quốc, điểm uốn ổn định giữa hai đợt 2012–2024 (kiểm định Paternoster không bác bỏ tính bằng nhau,</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trong khi tại Việt Nam điểm uốn dịch chuyển có ý nghĩa giữa 2009 và 2015. H6 do đó</w:t>
      </w:r>
      <w:r>
        <w:t xml:space="preserve"> </w:t>
      </w:r>
      <w:r>
        <w:rPr>
          <w:bCs/>
          <w:b/>
        </w:rPr>
        <w:t xml:space="preserve">không được xác nhận như một xu hướng thời gian đơn điệu</w:t>
      </w:r>
      <w:r>
        <w:t xml:space="preserve">, mà được tinh chỉnh thành một mệnh đề có điều kiện: dạng hàm quốc tế hóa–hiệu quả chỉ dịch chuyển (Việt Nam) hoặc mất cấu trúc (Ấn Độ 2025) khi tốc độ và biên độ thay đổi thể chế đủ lớn, còn giữ ổn định khi thể chế trưởng thành có trật tự (Trung Quốc) — nhất quán với cách đọc rằng thời gian tự nó không phải biến điều tiết, mà là vận tốc biến động thể chế tích lũy.</w:t>
      </w:r>
    </w:p>
    <w:p>
      <w:r>
        <w:pict>
          <v:rect style="width:0;height:1.5pt" o:hralign="center" o:hrstd="t" o:hr="t"/>
        </w:pict>
      </w:r>
    </w:p>
    <w:bookmarkEnd w:id="265"/>
    <w:bookmarkStart w:id="266"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mô hình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(biên tham gia), chứ không qua độ cong cường độ trong nhóm doanh nghiệp đã xuất khẩu (biên cường độ);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66"/>
    <w:bookmarkStart w:id="267" w:name="X08dece717898d5afcbb01edbe9ac6531a983c78"/>
    <w:p>
      <w:pPr>
        <w:pStyle w:val="Heading3"/>
      </w:pPr>
      <w:r>
        <w:t xml:space="preserve">5.1.8 Sợi chỉ vàng: truy vết tích hợp từ câu hỏi nghiên cứu đến đóng góp lý thuyết</w:t>
      </w:r>
    </w:p>
    <w:p>
      <w:pPr>
        <w:pStyle w:val="FirstParagraph"/>
      </w:pPr>
      <w:r>
        <w:t xml:space="preserve">Để làm rõ rằng luận án là</w:t>
      </w:r>
      <w:r>
        <w:t xml:space="preserve"> </w:t>
      </w:r>
      <w:r>
        <w:rPr>
          <w:bCs/>
          <w:b/>
        </w:rPr>
        <w:t xml:space="preserve">một lập luận tích hợp duy nhất</w:t>
      </w:r>
      <w:r>
        <w:t xml:space="preserve"> </w:t>
      </w:r>
      <w:r>
        <w:t xml:space="preserve">chứ không phải tập hợp rời rạc các nghiên cứu thành phần, Bảng 5.1 truy vết</w:t>
      </w:r>
      <w:r>
        <w:t xml:space="preserve"> </w:t>
      </w:r>
      <w:r>
        <w:t xml:space="preserve">“</w:t>
      </w:r>
      <w:r>
        <w:t xml:space="preserve">sợi chỉ vàng</w:t>
      </w:r>
      <w:r>
        <w:t xml:space="preserve">”</w:t>
      </w:r>
      <w:r>
        <w:t xml:space="preserve"> </w:t>
      </w:r>
      <w:r>
        <w:t xml:space="preserve">xuyên suốt: mỗi câu hỏi nghiên cứu được trả lời bằng những nghiên cứu thành phần cụ thể, kiểm định những giả thuyết xác định, cho ra những phát hiện thực nghiệm có thể đối chiếu, và cùng hội tụ về một đóng góp lý thuyết của khung CDCM–ICRV–FIP. Bảng đọc theo chiều ngang cho thấy tính nhất quán nội tại của từng mắt xích; đọc theo chiều dọc cho thấy cách các mảnh bằng chứng độc lập bồi đắp lẫn nhau thành một tuyên bố thống nhất.</w:t>
      </w:r>
    </w:p>
    <w:p>
      <w:pPr>
        <w:pStyle w:val="BodyText"/>
      </w:pPr>
      <w:r>
        <w:rPr>
          <w:bCs/>
          <w:b/>
        </w:rPr>
        <w:t xml:space="preserve">Bảng 5.1.</w:t>
      </w:r>
      <w:r>
        <w:t xml:space="preserve"> </w:t>
      </w:r>
      <w:r>
        <w:rPr>
          <w:iCs/>
          <w:i/>
        </w:rPr>
        <w:t xml:space="preserve">Sợi chỉ vàng tích hợp: câu hỏi nghiên cứu → nghiên cứu thành phần → giả thuyết → phát hiện thực nghiệm chủ chốt → đóng góp lý thuyết.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RQ</w:t>
            </w:r>
          </w:p>
        </w:tc>
        <w:tc>
          <w:tcPr/>
          <w:p>
            <w:pPr>
              <w:pStyle w:val="Compact"/>
              <w:jc w:val="left"/>
            </w:pPr>
            <w:r>
              <w:t xml:space="preserve">Nghiên cứu (nhóm ICRV)</w:t>
            </w:r>
          </w:p>
        </w:tc>
        <w:tc>
          <w:tcPr/>
          <w:p>
            <w:pPr>
              <w:pStyle w:val="Compact"/>
              <w:jc w:val="left"/>
            </w:pPr>
            <w:r>
              <w:t xml:space="preserve">Giả thuyết</w:t>
            </w:r>
          </w:p>
        </w:tc>
        <w:tc>
          <w:tcPr/>
          <w:p>
            <w:pPr>
              <w:pStyle w:val="Compact"/>
              <w:jc w:val="left"/>
            </w:pPr>
            <w:r>
              <w:t xml:space="preserve">Phát hiện thực nghiệm chủ chốt</w:t>
            </w:r>
          </w:p>
        </w:tc>
        <w:tc>
          <w:tcPr/>
          <w:p>
            <w:pPr>
              <w:pStyle w:val="Compact"/>
              <w:jc w:val="left"/>
            </w:pPr>
            <w:r>
              <w:t xml:space="preserve">Đóng góp lý thuyết</w:t>
            </w:r>
          </w:p>
        </w:tc>
      </w:tr>
      <w:tr>
        <w:tc>
          <w:tcPr/>
          <w:p>
            <w:pPr>
              <w:pStyle w:val="Compact"/>
              <w:jc w:val="left"/>
            </w:pPr>
            <w:r>
              <w:t xml:space="preserve">Cơ sở</w:t>
            </w:r>
          </w:p>
        </w:tc>
        <w:tc>
          <w:tcPr/>
          <w:p>
            <w:pPr>
              <w:pStyle w:val="Compact"/>
              <w:jc w:val="left"/>
            </w:pPr>
            <w:r>
              <w:t xml:space="preserve">P1 — Cơ sở đa quốc gia 17 nền (</w:t>
            </w:r>
            <m:oMath>
              <m:r>
                <m:t>N</m:t>
              </m:r>
              <m:r>
                <m:rPr>
                  <m:sty m:val="p"/>
                </m:rPr>
                <m:t>=</m:t>
              </m:r>
              <m:r>
                <m:t>40.633</m:t>
              </m:r>
            </m:oMath>
            <w:r>
              <w:t xml:space="preserve">)</w:t>
            </w:r>
          </w:p>
        </w:tc>
        <w:tc>
          <w:tcPr/>
          <w:p>
            <w:pPr>
              <w:pStyle w:val="Compact"/>
              <w:jc w:val="left"/>
            </w:pPr>
            <w:r>
              <w:t xml:space="preserve">Nền tảng (CDCM)</w:t>
            </w:r>
          </w:p>
        </w:tc>
        <w:tc>
          <w:tcPr/>
          <w:p>
            <w:pPr>
              <w:pStyle w:val="Compact"/>
              <w:jc w:val="left"/>
            </w:pPr>
            <w:r>
              <w:t xml:space="preserve">Phân tầng năng suất theo vùng;</w:t>
            </w:r>
            <w:r>
              <w:t xml:space="preserve"> </w:t>
            </w:r>
            <w:r>
              <w:rPr>
                <w:bCs/>
                <w:b/>
              </w:rPr>
              <w:t xml:space="preserve">hiệu ứng lá chắn số</w:t>
            </w:r>
            <w:r>
              <w:t xml:space="preserve"> </w:t>
            </w:r>
            <w:r>
              <w:t xml:space="preserve">(rào cản ×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w:t>
            </w:r>
          </w:p>
        </w:tc>
        <w:tc>
          <w:tcPr/>
          <w:p>
            <w:pPr>
              <w:pStyle w:val="Compact"/>
              <w:jc w:val="left"/>
            </w:pPr>
            <w:r>
              <w:t xml:space="preserve">Đặt nền cho khung CDCM; nguồn gốc</w:t>
            </w:r>
            <w:r>
              <w:t xml:space="preserve"> </w:t>
            </w:r>
            <w:r>
              <w:t xml:space="preserve">“</w:t>
            </w:r>
            <w:r>
              <w:t xml:space="preserve">lá chắn số</w:t>
            </w:r>
            <w:r>
              <w:t xml:space="preserve">”</w:t>
            </w:r>
            <w:r>
              <w:t xml:space="preserve"> </w:t>
            </w:r>
            <w:r>
              <w:t xml:space="preserve">mà P7 mở rộng ra 50 nền</w:t>
            </w:r>
          </w:p>
        </w:tc>
      </w:tr>
      <w:tr>
        <w:tc>
          <w:tcPr/>
          <w:p>
            <w:pPr>
              <w:pStyle w:val="Compact"/>
              <w:jc w:val="left"/>
            </w:pPr>
            <w:r>
              <w:t xml:space="preserve">RQ1</w:t>
            </w:r>
          </w:p>
        </w:tc>
        <w:tc>
          <w:tcPr/>
          <w:p>
            <w:pPr>
              <w:pStyle w:val="Compact"/>
              <w:jc w:val="left"/>
            </w:pPr>
            <w:r>
              <w:t xml:space="preserve">P6 — Phân tích tổng hợp toàn cầu</w:t>
            </w:r>
          </w:p>
        </w:tc>
        <w:tc>
          <w:tcPr/>
          <w:p>
            <w:pPr>
              <w:pStyle w:val="Compact"/>
              <w:jc w:val="left"/>
            </w:pPr>
            <w:r>
              <w:t xml:space="preserve">H1, H5</w:t>
            </w:r>
          </w:p>
        </w:tc>
        <w:tc>
          <w:tcPr/>
          <w:p>
            <w:pPr>
              <w:pStyle w:val="Compact"/>
              <w:jc w:val="left"/>
            </w:pPr>
            <m:oMath>
              <m:r>
                <m:t>k</m:t>
              </m:r>
              <m:r>
                <m:rPr>
                  <m:sty m:val="p"/>
                </m:rPr>
                <m:t>=</m:t>
              </m:r>
              <m:r>
                <m:t>238</m:t>
              </m:r>
            </m:oMath>
            <w:r>
              <w:t xml:space="preserve">; hiệu ứng dương nhỏ</w:t>
            </w:r>
            <w:r>
              <w:t xml:space="preserve"> </w:t>
            </w:r>
            <m:oMath>
              <m:acc>
                <m:accPr>
                  <m:chr m:val="‾"/>
                </m:accPr>
                <m:e>
                  <m:r>
                    <m:t>r</m:t>
                  </m:r>
                </m:e>
              </m:acc>
              <m:r>
                <m:rPr>
                  <m:sty m:val="p"/>
                </m:rPr>
                <m:t>=</m:t>
              </m:r>
              <m:r>
                <m:t>0</m:t>
              </m:r>
              <m:r>
                <m:rPr>
                  <m:sty m:val="p"/>
                </m:rPr>
                <m:t>,</m:t>
              </m:r>
              <m:r>
                <m:t>074</m:t>
              </m:r>
            </m:oMath>
            <w:r>
              <w:t xml:space="preserve">; dị biệt cao</w:t>
            </w:r>
            <w:r>
              <w:t xml:space="preserve"> </w:t>
            </w:r>
            <m:oMath>
              <m:sSup>
                <m:e>
                  <m:r>
                    <m:t>I</m:t>
                  </m:r>
                </m:e>
                <m:sup>
                  <m:r>
                    <m:t>2</m:t>
                  </m:r>
                </m:sup>
              </m:sSup>
              <m:r>
                <m:rPr>
                  <m:sty m:val="p"/>
                </m:rPr>
                <m:t>=</m:t>
              </m:r>
              <m:r>
                <m:t>62</m:t>
              </m:r>
              <m:r>
                <m:rPr>
                  <m:sty m:val="p"/>
                </m:rPr>
                <m:t>,</m:t>
              </m:r>
              <m:r>
                <m:t>4</m:t>
              </m:r>
              <m:r>
                <m:rPr>
                  <m:sty m:val="p"/>
                </m:rPr>
                <m:t>%</m:t>
              </m:r>
            </m:oMath>
            <w:r>
              <w:t xml:space="preserve">; thể chế điều tiết</w:t>
            </w:r>
            <w:r>
              <w:t xml:space="preserve"> </w:t>
            </w:r>
            <m:oMath>
              <m:sSub>
                <m:e>
                  <m:r>
                    <m:t>Q</m:t>
                  </m:r>
                </m:e>
                <m:sub>
                  <m:r>
                    <m:t>M</m:t>
                  </m:r>
                </m:sub>
              </m:sSub>
              <m:r>
                <m:rPr>
                  <m:sty m:val="p"/>
                </m:rPr>
                <m:t>=</m:t>
              </m:r>
              <m:r>
                <m:t>17</m:t>
              </m:r>
              <m:r>
                <m:rPr>
                  <m:sty m:val="p"/>
                </m:rPr>
                <m:t>,</m:t>
              </m:r>
              <m:r>
                <m:t>35</m:t>
              </m:r>
            </m:oMath>
            <w:r>
              <w:t xml:space="preserve"> </w:t>
            </w:r>
            <w:r>
              <w:t xml:space="preserve">(</w:t>
            </w:r>
            <m:oMath>
              <m:r>
                <m:t>p</m:t>
              </m:r>
              <m:r>
                <m:rPr>
                  <m:sty m:val="p"/>
                </m:rPr>
                <m:t>=</m:t>
              </m:r>
              <m:r>
                <m:rPr>
                  <m:sty m:val="p"/>
                </m:rPr>
                <m:t>,</m:t>
              </m:r>
              <m:r>
                <m:t>002</m:t>
              </m:r>
            </m:oMath>
            <w:r>
              <w:t xml:space="preserve">)</w:t>
            </w:r>
          </w:p>
        </w:tc>
        <w:tc>
          <w:tcPr/>
          <w:p>
            <w:pPr>
              <w:pStyle w:val="Compact"/>
              <w:jc w:val="left"/>
            </w:pPr>
            <w:r>
              <w:t xml:space="preserve">Xác lập thực chứng rằng quan hệ I–P dương nhỏ nhưng</w:t>
            </w:r>
            <w:r>
              <w:t xml:space="preserve"> </w:t>
            </w:r>
            <w:r>
              <w:rPr>
                <w:bCs/>
                <w:b/>
              </w:rPr>
              <w:t xml:space="preserve">dị biệt do thể chế</w:t>
            </w:r>
            <w:r>
              <w:t xml:space="preserve"> </w:t>
            </w:r>
            <w:r>
              <w:t xml:space="preserve">— cơ sở cho trục ICRV</w:t>
            </w:r>
          </w:p>
        </w:tc>
      </w:tr>
      <w:tr>
        <w:tc>
          <w:tcPr/>
          <w:p>
            <w:pPr>
              <w:pStyle w:val="Compact"/>
              <w:jc w:val="left"/>
            </w:pPr>
            <w:r>
              <w:t xml:space="preserve">RQ2</w:t>
            </w:r>
          </w:p>
        </w:tc>
        <w:tc>
          <w:tcPr/>
          <w:p>
            <w:pPr>
              <w:pStyle w:val="Compact"/>
              <w:jc w:val="left"/>
            </w:pPr>
            <w:r>
              <w:t xml:space="preserve">P4 — Singapore (I)</w:t>
            </w:r>
          </w:p>
        </w:tc>
        <w:tc>
          <w:tcPr/>
          <w:p>
            <w:pPr>
              <w:pStyle w:val="Compact"/>
              <w:jc w:val="left"/>
            </w:pPr>
            <w:r>
              <w:t xml:space="preserve">H1, H3</w:t>
            </w:r>
          </w:p>
        </w:tc>
        <w:tc>
          <w:tcPr/>
          <w:p>
            <w:pPr>
              <w:pStyle w:val="Compact"/>
              <w:jc w:val="left"/>
            </w:pPr>
            <w:r>
              <w:t xml:space="preserve">Gần tuyến tính dương; điểm uốn ~88,6% (CI rộng, ngoài miền); DAI khuếch đại ở cường độ cao</w:t>
            </w:r>
          </w:p>
        </w:tc>
        <w:tc>
          <w:tcPr/>
          <w:p>
            <w:pPr>
              <w:pStyle w:val="Compact"/>
              <w:jc w:val="left"/>
            </w:pPr>
            <w:r>
              <w:t xml:space="preserve">Biên trên: đường cong</w:t>
            </w:r>
            <w:r>
              <w:t xml:space="preserve"> </w:t>
            </w:r>
            <w:r>
              <w:rPr>
                <w:bCs/>
                <w:b/>
              </w:rPr>
              <w:t xml:space="preserve">duỗi thẳng</w:t>
            </w:r>
            <w:r>
              <w:t xml:space="preserve"> </w:t>
            </w:r>
            <w:r>
              <w:t xml:space="preserve">khi đệm thể chế dày</w:t>
            </w:r>
          </w:p>
        </w:tc>
      </w:tr>
      <w:tr>
        <w:tc>
          <w:tcPr/>
          <w:p>
            <w:pPr>
              <w:pStyle w:val="Compact"/>
              <w:jc w:val="left"/>
            </w:pPr>
            <w:r>
              <w:t xml:space="preserve">RQ2</w:t>
            </w:r>
          </w:p>
        </w:tc>
        <w:tc>
          <w:tcPr/>
          <w:p>
            <w:pPr>
              <w:pStyle w:val="Compact"/>
              <w:jc w:val="left"/>
            </w:pPr>
            <w:r>
              <w:t xml:space="preserve">P3 — Việt Nam (IV)</w:t>
            </w:r>
          </w:p>
        </w:tc>
        <w:tc>
          <w:tcPr/>
          <w:p>
            <w:pPr>
              <w:pStyle w:val="Compact"/>
              <w:jc w:val="left"/>
            </w:pPr>
            <w:r>
              <w:t xml:space="preserve">H1, H2, H3</w:t>
            </w:r>
          </w:p>
        </w:tc>
        <w:tc>
          <w:tcPr/>
          <w:p>
            <w:pPr>
              <w:pStyle w:val="Compact"/>
              <w:jc w:val="left"/>
            </w:pPr>
            <w:r>
              <w:t xml:space="preserve">Chữ U ngược sắc nét, điểm uốn 39,3–46,2%; TCI điều tiết dương</w:t>
            </w:r>
          </w:p>
        </w:tc>
        <w:tc>
          <w:tcPr/>
          <w:p>
            <w:pPr>
              <w:pStyle w:val="Compact"/>
              <w:jc w:val="left"/>
            </w:pPr>
            <w:r>
              <w:t xml:space="preserve">Chế độ neo; phân biệt</w:t>
            </w:r>
            <w:r>
              <w:t xml:space="preserve"> </w:t>
            </w:r>
            <w:r>
              <w:rPr>
                <w:bCs/>
                <w:b/>
              </w:rPr>
              <w:t xml:space="preserve">biên tham gia</w:t>
            </w:r>
            <w:r>
              <w:t xml:space="preserve"> </w:t>
            </w:r>
            <w:r>
              <w:t xml:space="preserve">vs biên cường độ</w:t>
            </w:r>
          </w:p>
        </w:tc>
      </w:tr>
      <w:tr>
        <w:tc>
          <w:tcPr/>
          <w:p>
            <w:pPr>
              <w:pStyle w:val="Compact"/>
              <w:jc w:val="left"/>
            </w:pPr>
            <w:r>
              <w:t xml:space="preserve">RQ2</w:t>
            </w:r>
          </w:p>
        </w:tc>
        <w:tc>
          <w:tcPr/>
          <w:p>
            <w:pPr>
              <w:pStyle w:val="Compact"/>
              <w:jc w:val="left"/>
            </w:pPr>
            <w:r>
              <w:t xml:space="preserve">P5 — Trung Quốc 2012–2024 (III); P2 — DNVVN TQ</w:t>
            </w:r>
          </w:p>
        </w:tc>
        <w:tc>
          <w:tcPr/>
          <w:p>
            <w:pPr>
              <w:pStyle w:val="Compact"/>
              <w:jc w:val="left"/>
            </w:pPr>
            <w:r>
              <w:t xml:space="preserve">H1, H6</w:t>
            </w:r>
          </w:p>
        </w:tc>
        <w:tc>
          <w:tcPr/>
          <w:p>
            <w:pPr>
              <w:pStyle w:val="Compact"/>
              <w:jc w:val="left"/>
            </w:pPr>
            <w:r>
              <w:t xml:space="preserve">Điểm uốn ổn định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P2: 47,8%, bẫy vốn lưu động</w:t>
            </w:r>
          </w:p>
        </w:tc>
        <w:tc>
          <w:tcPr/>
          <w:p>
            <w:pPr>
              <w:pStyle w:val="Compact"/>
              <w:jc w:val="left"/>
            </w:pPr>
            <w:r>
              <w:rPr>
                <w:bCs/>
                <w:b/>
              </w:rPr>
              <w:t xml:space="preserve">Tính bền thời gian</w:t>
            </w:r>
            <w:r>
              <w:t xml:space="preserve"> </w:t>
            </w:r>
            <w:r>
              <w:t xml:space="preserve">của điểm uốn qua một thập kỷ</w:t>
            </w:r>
          </w:p>
        </w:tc>
      </w:tr>
      <w:tr>
        <w:tc>
          <w:tcPr/>
          <w:p>
            <w:pPr>
              <w:pStyle w:val="Compact"/>
              <w:jc w:val="left"/>
            </w:pPr>
            <w:r>
              <w:t xml:space="preserve">RQ3</w:t>
            </w:r>
          </w:p>
        </w:tc>
        <w:tc>
          <w:tcPr/>
          <w:p>
            <w:pPr>
              <w:pStyle w:val="Compact"/>
              <w:jc w:val="left"/>
            </w:pPr>
            <w:r>
              <w:t xml:space="preserve">P7 — Toàn mẫu 50 nền</w:t>
            </w:r>
          </w:p>
        </w:tc>
        <w:tc>
          <w:tcPr/>
          <w:p>
            <w:pPr>
              <w:pStyle w:val="Compact"/>
              <w:jc w:val="left"/>
            </w:pPr>
            <w:r>
              <w:t xml:space="preserve">H1, H2, H3, H5</w:t>
            </w:r>
          </w:p>
        </w:tc>
        <w:tc>
          <w:tcPr/>
          <w:p>
            <w:pPr>
              <w:pStyle w:val="Compact"/>
              <w:jc w:val="left"/>
            </w:pPr>
            <m:oMath>
              <m:r>
                <m:t>N</m:t>
              </m:r>
              <m:r>
                <m:rPr>
                  <m:sty m:val="p"/>
                </m:rPr>
                <m:t>=</m:t>
              </m:r>
              <m:r>
                <m:t>81.022</m:t>
              </m:r>
              <m:r>
                <m:rPr>
                  <m:sty m:val="p"/>
                </m:rPr>
                <m:t>/</m:t>
              </m:r>
              <m:r>
                <m:t>79.080</m:t>
              </m:r>
            </m:oMath>
            <w:r>
              <w:t xml:space="preserve">; điểm uốn 43,6–51,5%; TCI</w:t>
            </w:r>
            <w:r>
              <w:t xml:space="preserve"> </w:t>
            </w:r>
            <m:oMath>
              <m:r>
                <m:rPr>
                  <m:sty m:val="p"/>
                </m:rPr>
                <m:t>+</m:t>
              </m:r>
              <m:r>
                <m:t>0</m:t>
              </m:r>
              <m:r>
                <m:rPr>
                  <m:sty m:val="p"/>
                </m:rPr>
                <m:t>,</m:t>
              </m:r>
              <m:r>
                <m:t>141</m:t>
              </m:r>
            </m:oMath>
            <w:r>
              <w:t xml:space="preserve">, DAI</w:t>
            </w:r>
            <w:r>
              <w:t xml:space="preserve"> </w:t>
            </w:r>
            <m:oMath>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nâng mặt bằng</w:t>
            </w:r>
          </w:p>
        </w:tc>
        <w:tc>
          <w:tcPr/>
          <w:p>
            <w:pPr>
              <w:pStyle w:val="Compact"/>
              <w:jc w:val="left"/>
            </w:pPr>
            <w:r>
              <w:t xml:space="preserve">Khái quát hóa CDCM; TCI/DAI là</w:t>
            </w:r>
            <w:r>
              <w:t xml:space="preserve"> </w:t>
            </w:r>
            <w:r>
              <w:rPr>
                <w:bCs/>
                <w:b/>
              </w:rPr>
              <w:t xml:space="preserve">bộ nâng mặt bằng phổ quát</w:t>
            </w:r>
            <w:r>
              <w:t xml:space="preserve">, không uốn đường cong</w:t>
            </w:r>
          </w:p>
        </w:tc>
      </w:tr>
      <w:tr>
        <w:tc>
          <w:tcPr/>
          <w:p>
            <w:pPr>
              <w:pStyle w:val="Compact"/>
              <w:jc w:val="left"/>
            </w:pPr>
            <w:r>
              <w:t xml:space="preserve">RQ3</w:t>
            </w:r>
          </w:p>
        </w:tc>
        <w:tc>
          <w:tcPr/>
          <w:p>
            <w:pPr>
              <w:pStyle w:val="Compact"/>
              <w:jc w:val="left"/>
            </w:pPr>
            <w:r>
              <w:t xml:space="preserve">P8 — Pacific SIDS (VI)</w:t>
            </w:r>
          </w:p>
        </w:tc>
        <w:tc>
          <w:tcPr/>
          <w:p>
            <w:pPr>
              <w:pStyle w:val="Compact"/>
              <w:jc w:val="left"/>
            </w:pPr>
            <w:r>
              <w:t xml:space="preserve">H1b</w:t>
            </w:r>
          </w:p>
        </w:tc>
        <w:tc>
          <w:tcPr/>
          <w:p>
            <w:pPr>
              <w:pStyle w:val="Compact"/>
              <w:jc w:val="left"/>
            </w:pPr>
            <w:r>
              <w:t xml:space="preserve">Mất cấu trúc: độ dốc</w:t>
            </w:r>
            <w:r>
              <w:t xml:space="preserve"> </w:t>
            </w:r>
            <m:oMath>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độ cong</w:t>
            </w:r>
            <w:r>
              <w:t xml:space="preserve"> </w:t>
            </w:r>
            <m:oMath>
              <m:r>
                <m:rPr>
                  <m:sty m:val="p"/>
                </m:rPr>
                <m:t>+</m:t>
              </m:r>
              <m:r>
                <m:t>0</m:t>
              </m:r>
              <m:r>
                <m:rPr>
                  <m:sty m:val="p"/>
                </m:rPr>
                <m:t>,</m:t>
              </m:r>
              <m:r>
                <m:t>696</m:t>
              </m:r>
            </m:oMath>
            <w:r>
              <w:t xml:space="preserve"> </w:t>
            </w:r>
            <w:r>
              <w:t xml:space="preserve">(</w:t>
            </w:r>
            <m:oMath>
              <m:sSub>
                <m:e>
                  <m:r>
                    <m:t>p</m:t>
                  </m:r>
                </m:e>
                <m:sub>
                  <m:r>
                    <m:rPr>
                      <m:nor/>
                      <m:sty m:val="p"/>
                    </m:rPr>
                    <m:t>wild</m:t>
                  </m:r>
                </m:sub>
              </m:sSub>
              <m:r>
                <m:rPr>
                  <m:sty m:val="p"/>
                </m:rPr>
                <m:t>=</m:t>
              </m:r>
              <m:r>
                <m:rPr>
                  <m:sty m:val="p"/>
                </m:rPr>
                <m:t>,</m:t>
              </m:r>
              <m:r>
                <m:t>082</m:t>
              </m:r>
            </m:oMath>
            <w:r>
              <w:t xml:space="preserve"> </w:t>
            </w:r>
            <w:r>
              <w:t xml:space="preserve">biên);</w:t>
            </w:r>
            <w:r>
              <w:t xml:space="preserve"> </w:t>
            </w:r>
            <m:oMath>
              <m:r>
                <m:t>N</m:t>
              </m:r>
              <m:r>
                <m:rPr>
                  <m:sty m:val="p"/>
                </m:rPr>
                <m:t>=</m:t>
              </m:r>
              <m:r>
                <m:t>1.450</m:t>
              </m:r>
            </m:oMath>
          </w:p>
        </w:tc>
        <w:tc>
          <w:tcPr/>
          <w:p>
            <w:pPr>
              <w:pStyle w:val="Compact"/>
              <w:jc w:val="left"/>
            </w:pPr>
            <w:r>
              <w:t xml:space="preserve">Định danh</w:t>
            </w:r>
            <w:r>
              <w:t xml:space="preserve"> </w:t>
            </w:r>
            <w:r>
              <w:rPr>
                <w:bCs/>
                <w:b/>
              </w:rPr>
              <w:t xml:space="preserve">FIP</w:t>
            </w:r>
            <w:r>
              <w:t xml:space="preserve"> </w:t>
            </w:r>
            <w:r>
              <w:t xml:space="preserve">— điều kiện biên cực trị của chữ U ngược</w:t>
            </w:r>
          </w:p>
        </w:tc>
      </w:tr>
      <w:tr>
        <w:tc>
          <w:tcPr/>
          <w:p>
            <w:pPr>
              <w:pStyle w:val="Compact"/>
              <w:jc w:val="left"/>
            </w:pPr>
            <w:r>
              <w:t xml:space="preserve">RQ4</w:t>
            </w:r>
          </w:p>
        </w:tc>
        <w:tc>
          <w:tcPr/>
          <w:p>
            <w:pPr>
              <w:pStyle w:val="Compact"/>
              <w:jc w:val="left"/>
            </w:pPr>
            <w:r>
              <w:t xml:space="preserve">P7 — Toàn phổ ICRV</w:t>
            </w:r>
          </w:p>
        </w:tc>
        <w:tc>
          <w:tcPr/>
          <w:p>
            <w:pPr>
              <w:pStyle w:val="Compact"/>
              <w:jc w:val="left"/>
            </w:pPr>
            <w:r>
              <w:t xml:space="preserve">H5</w:t>
            </w:r>
          </w:p>
        </w:tc>
        <w:tc>
          <w:tcPr/>
          <w:p>
            <w:pPr>
              <w:pStyle w:val="Compact"/>
              <w:jc w:val="left"/>
            </w:pPr>
            <w:r>
              <w:t xml:space="preserve">Điểm uốn dịch theo chế độ (Nhóm IV 43,0% → Nhóm I gần tuyến tính → Nhóm V/VI mất cấu trúc)</w:t>
            </w:r>
          </w:p>
        </w:tc>
        <w:tc>
          <w:tcPr/>
          <w:p>
            <w:pPr>
              <w:pStyle w:val="Compact"/>
              <w:jc w:val="left"/>
            </w:pPr>
            <w:r>
              <w:t xml:space="preserve">Thể chế điều tiết cả</w:t>
            </w:r>
            <w:r>
              <w:t xml:space="preserve"> </w:t>
            </w:r>
            <w:r>
              <w:rPr>
                <w:bCs/>
                <w:b/>
              </w:rPr>
              <w:t xml:space="preserve">dạng hàm</w:t>
            </w:r>
            <w:r>
              <w:t xml:space="preserve">, không chỉ độ lớn —</w:t>
            </w:r>
            <w:r>
              <w:t xml:space="preserve"> </w:t>
            </w:r>
            <w:r>
              <w:t xml:space="preserve">“</w:t>
            </w:r>
            <w:r>
              <w:t xml:space="preserve">có điều kiện theo bối cảnh</w:t>
            </w:r>
            <w:r>
              <w:t xml:space="preserve">”</w:t>
            </w:r>
          </w:p>
        </w:tc>
      </w:tr>
      <w:tr>
        <w:tc>
          <w:tcPr/>
          <w:p>
            <w:pPr>
              <w:pStyle w:val="Compact"/>
              <w:jc w:val="left"/>
            </w:pPr>
            <w:r>
              <w:t xml:space="preserve">RQ4</w:t>
            </w:r>
          </w:p>
        </w:tc>
        <w:tc>
          <w:tcPr/>
          <w:p>
            <w:pPr>
              <w:pStyle w:val="Compact"/>
              <w:jc w:val="left"/>
            </w:pPr>
            <w:r>
              <w:t xml:space="preserve">P9 — Ấn Độ 2014–2025 (IV)</w:t>
            </w:r>
          </w:p>
        </w:tc>
        <w:tc>
          <w:tcPr/>
          <w:p>
            <w:pPr>
              <w:pStyle w:val="Compact"/>
              <w:jc w:val="left"/>
            </w:pPr>
            <w:r>
              <w:t xml:space="preserve">H1c</w:t>
            </w:r>
          </w:p>
        </w:tc>
        <w:tc>
          <w:tcPr/>
          <w:p>
            <w:pPr>
              <w:pStyle w:val="Compact"/>
              <w:jc w:val="left"/>
            </w:pPr>
            <w:r>
              <w:rPr>
                <w:bCs/>
                <w:b/>
              </w:rPr>
              <w:t xml:space="preserve">Tan biến</w:t>
            </w:r>
            <w:r>
              <w:t xml:space="preserve"> </w:t>
            </w:r>
            <w:r>
              <w:t xml:space="preserve">điểm uốn: 61,8% (2014) → 40,7% (2022) →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w:t>
            </w:r>
          </w:p>
        </w:tc>
        <w:tc>
          <w:tcPr/>
          <w:p>
            <w:pPr>
              <w:pStyle w:val="Compact"/>
              <w:jc w:val="left"/>
            </w:pPr>
            <w:r>
              <w:t xml:space="preserve">Chuyển đổi thể chế cực mạnh</w:t>
            </w:r>
            <w:r>
              <w:t xml:space="preserve"> </w:t>
            </w:r>
            <w:r>
              <w:rPr>
                <w:bCs/>
                <w:b/>
              </w:rPr>
              <w:t xml:space="preserve">hòa tan</w:t>
            </w:r>
            <w:r>
              <w:t xml:space="preserve"> </w:t>
            </w:r>
            <w:r>
              <w:t xml:space="preserve">chứ không chỉ dịch ngưỡng (điều kiện biên thời gian)</w:t>
            </w:r>
          </w:p>
        </w:tc>
      </w:tr>
      <w:tr>
        <w:tc>
          <w:tcPr/>
          <w:p>
            <w:pPr>
              <w:pStyle w:val="Compact"/>
              <w:jc w:val="left"/>
            </w:pPr>
            <w:r>
              <w:t xml:space="preserve">RQ4</w:t>
            </w:r>
          </w:p>
        </w:tc>
        <w:tc>
          <w:tcPr/>
          <w:p>
            <w:pPr>
              <w:pStyle w:val="Compact"/>
              <w:jc w:val="left"/>
            </w:pPr>
            <w:r>
              <w:t xml:space="preserve">P10 — Nhật Bản 2025 (I)</w:t>
            </w:r>
          </w:p>
        </w:tc>
        <w:tc>
          <w:tcPr/>
          <w:p>
            <w:pPr>
              <w:pStyle w:val="Compact"/>
              <w:jc w:val="left"/>
            </w:pPr>
            <w:r>
              <w:t xml:space="preserve">H1 (biên trên)</w:t>
            </w:r>
          </w:p>
        </w:tc>
        <w:tc>
          <w:tcPr/>
          <w:p>
            <w:pPr>
              <w:pStyle w:val="Compact"/>
              <w:jc w:val="left"/>
            </w:pPr>
            <w:r>
              <w:t xml:space="preserve">Gần tuyến tính dương, điểm uốn ngoài miền; phần bù xuất khẩu 25,8%</w:t>
            </w:r>
          </w:p>
        </w:tc>
        <w:tc>
          <w:tcPr/>
          <w:p>
            <w:pPr>
              <w:pStyle w:val="Compact"/>
              <w:jc w:val="left"/>
            </w:pPr>
            <w:r>
              <w:t xml:space="preserve">Xác nhận</w:t>
            </w:r>
            <w:r>
              <w:t xml:space="preserve"> </w:t>
            </w:r>
            <w:r>
              <w:rPr>
                <w:bCs/>
                <w:b/>
              </w:rPr>
              <w:t xml:space="preserve">dự đoán biên trên</w:t>
            </w:r>
            <w:r>
              <w:t xml:space="preserve">; cơ chế biên tham gia (Melitz, 2003)</w:t>
            </w:r>
          </w:p>
        </w:tc>
      </w:tr>
      <w:tr>
        <w:tc>
          <w:tcPr/>
          <w:p>
            <w:pPr>
              <w:pStyle w:val="Compact"/>
              <w:jc w:val="left"/>
            </w:pPr>
            <w:r>
              <w:t xml:space="preserve">RQ4</w:t>
            </w:r>
          </w:p>
        </w:tc>
        <w:tc>
          <w:tcPr/>
          <w:p>
            <w:pPr>
              <w:pStyle w:val="Compact"/>
              <w:jc w:val="left"/>
            </w:pPr>
            <w:r>
              <w:t xml:space="preserve">Chương sách — Ấn Độ, quản trị (IV)</w:t>
            </w:r>
          </w:p>
        </w:tc>
        <w:tc>
          <w:tcPr/>
          <w:p>
            <w:pPr>
              <w:pStyle w:val="Compact"/>
              <w:jc w:val="left"/>
            </w:pPr>
            <w:r>
              <w:t xml:space="preserve">H4</w:t>
            </w:r>
          </w:p>
        </w:tc>
        <w:tc>
          <w:tcPr/>
          <w:p>
            <w:pPr>
              <w:pStyle w:val="Compact"/>
              <w:jc w:val="left"/>
            </w:pPr>
            <w:r>
              <w:t xml:space="preserve">ROS: kinh nghiệm</w:t>
            </w:r>
            <w:r>
              <w:t xml:space="preserve"> </w:t>
            </w:r>
            <m:oMath>
              <m:r>
                <m:rPr>
                  <m:sty m:val="p"/>
                </m:rPr>
                <m:t>+</m:t>
              </m:r>
              <m:r>
                <m:t>1</m:t>
              </m:r>
              <m:r>
                <m:rPr>
                  <m:sty m:val="p"/>
                </m:rPr>
                <m:t>,</m:t>
              </m:r>
              <m:r>
                <m:t>55</m:t>
              </m:r>
            </m:oMath>
            <w:r>
              <w:t xml:space="preserve">, lãnh đạo nữ</w:t>
            </w:r>
            <w:r>
              <w:t xml:space="preserve"> </w:t>
            </w:r>
            <m:oMath>
              <m:r>
                <m:rPr>
                  <m:sty m:val="p"/>
                </m:rPr>
                <m:t>+</m:t>
              </m:r>
              <m:r>
                <m:t>77</m:t>
              </m:r>
              <m:r>
                <m:rPr>
                  <m:sty m:val="p"/>
                </m:rPr>
                <m:t>,</m:t>
              </m:r>
              <m:r>
                <m:t>03</m:t>
              </m:r>
            </m:oMath>
            <w:r>
              <w:t xml:space="preserve"> </w:t>
            </w:r>
            <w:r>
              <w:t xml:space="preserve">điều tiết dương (</w:t>
            </w:r>
            <m:oMath>
              <m:r>
                <m:t>N</m:t>
              </m:r>
              <m:r>
                <m:rPr>
                  <m:sty m:val="p"/>
                </m:rPr>
                <m:t>=</m:t>
              </m:r>
              <m:r>
                <m:t>380</m:t>
              </m:r>
            </m:oMath>
            <w:r>
              <w:t xml:space="preserve">)</w:t>
            </w:r>
          </w:p>
        </w:tc>
        <w:tc>
          <w:tcPr/>
          <w:p>
            <w:pPr>
              <w:pStyle w:val="Compact"/>
              <w:jc w:val="left"/>
            </w:pPr>
            <w:r>
              <w:t xml:space="preserve">Bằng chứng đơn quốc gia cho</w:t>
            </w:r>
            <w:r>
              <w:t xml:space="preserve"> </w:t>
            </w:r>
            <w:r>
              <w:rPr>
                <w:bCs/>
                <w:b/>
              </w:rPr>
              <w:t xml:space="preserve">tầng quản trị</w:t>
            </w:r>
            <w:r>
              <w:t xml:space="preserve"> </w:t>
            </w:r>
            <w:r>
              <w:t xml:space="preserve">của CDCM</w:t>
            </w:r>
          </w:p>
        </w:tc>
      </w:tr>
    </w:tbl>
    <w:p>
      <w:pPr>
        <w:pStyle w:val="BodyText"/>
      </w:pPr>
      <w:r>
        <w:rPr>
          <w:iCs/>
          <w:i/>
        </w:rPr>
        <w:t xml:space="preserve">Ghi chú: Các con số trích nguyên từ Mục 5.6.1 và các mục kết quả tương ứng (Mục 4.2–4.9). Nhóm ICRV: I = tiên tiến đổi mới; III = trung bình cao; IV = chuyển đổi thu nhập trung bình thấp; VI = SIDS. Nguồn: tác giả tổng hợp.</w:t>
      </w:r>
    </w:p>
    <w:p>
      <w:pPr>
        <w:pStyle w:val="BodyText"/>
      </w:pPr>
      <w:r>
        <w:t xml:space="preserve">Đọc dọc Bảng 5.1, toàn bộ mười nghiên cứu thành phần cùng chương sách bổ sung — nghiên cứu nền tảng 17 nền (P1), một phân tích tổng hợp toàn cầu (P6), năm ước lượng đơn quốc gia trải khắp phổ thể chế (P2–P5, P9), một kiểm định toàn mẫu 50 nền (P7), hai trường hợp biên (P8 SIDS, P10 Nhật Bản), và bằng chứng tầng quản trị từ chương sách — hội tụ về</w:t>
      </w:r>
      <w:r>
        <w:t xml:space="preserve"> </w:t>
      </w:r>
      <w:r>
        <w:rPr>
          <w:bCs/>
          <w:b/>
        </w:rPr>
        <w:t xml:space="preserve">một tuyên bố lý thuyết duy nhất có thể bác bỏ</w:t>
      </w:r>
      <w:r>
        <w:t xml:space="preserve">:</w:t>
      </w:r>
      <w:r>
        <w:t xml:space="preserve"> </w:t>
      </w:r>
      <w:r>
        <w:rPr>
          <w:iCs/>
          <w:i/>
        </w:rPr>
        <w:t xml:space="preserve">mức độ quốc tế hóa cải thiện hiệu quả doanh nghiệp theo một dạng hàm mà bản thân dạng hàm đó là một hàm của vị trí thể chế</w:t>
      </w:r>
      <w:r>
        <w:t xml:space="preserve">. Cụ thể, độ dày đệm thể chế quyết định liệu quan hệ I–P là gần tuyến tính dương (biên trên), chữ U ngược sắc nét (chế độ chuyển đổi), hay mất cấu trúc và đảo dấu (biên dưới). Tuyên bố này nâng luận điểm kinh điển</w:t>
      </w:r>
      <w:r>
        <w:t xml:space="preserve"> </w:t>
      </w:r>
      <w:r>
        <w:t xml:space="preserve">“</w:t>
      </w:r>
      <w:r>
        <w:t xml:space="preserve">bối cảnh quan trọng</w:t>
      </w:r>
      <w:r>
        <w:t xml:space="preserve">”</w:t>
      </w:r>
      <w:r>
        <w:t xml:space="preserve"> </w:t>
      </w:r>
      <w:r>
        <w:t xml:space="preserve">từ một nhận định định tính (thể chế điều tiết</w:t>
      </w:r>
      <w:r>
        <w:t xml:space="preserve"> </w:t>
      </w:r>
      <w:r>
        <w:rPr>
          <w:iCs/>
          <w:i/>
        </w:rPr>
        <w:t xml:space="preserve">độ lớn</w:t>
      </w:r>
      <w:r>
        <w:t xml:space="preserve"> </w:t>
      </w:r>
      <w:r>
        <w:t xml:space="preserve">hiệu ứng) lên một mệnh đề định lượng kiểm định được (thể chế điều tiết</w:t>
      </w:r>
      <w:r>
        <w:t xml:space="preserve"> </w:t>
      </w:r>
      <w:r>
        <w:rPr>
          <w:iCs/>
          <w:i/>
        </w:rPr>
        <w:t xml:space="preserve">dấu và dạng</w:t>
      </w:r>
      <w:r>
        <w:t xml:space="preserve"> </w:t>
      </w:r>
      <w:r>
        <w:t xml:space="preserve">hiệu ứng), và xác định tường minh điểm — chế độ SIDS — mà tại đó cả họ lý thuyết chữ U ngược không còn ứng dụng được.</w:t>
      </w:r>
    </w:p>
    <w:bookmarkEnd w:id="267"/>
    <w:bookmarkEnd w:id="268"/>
    <w:bookmarkStart w:id="276" w:name="so-sánh-với-nghiên-cứu-trước-đây"/>
    <w:p>
      <w:pPr>
        <w:pStyle w:val="Heading2"/>
      </w:pPr>
      <w:r>
        <w:t xml:space="preserve">5.2 So sánh với nghiên cứu trước đây</w:t>
      </w:r>
    </w:p>
    <w:bookmarkStart w:id="269"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69"/>
    <w:bookmarkStart w:id="270"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270"/>
    <w:bookmarkStart w:id="271"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Cách đọc điều tiết theo chế độ thể chế này nhất quán với dòng bằng chứng tổng hợp rộng hơn rằng quan hệ quốc tế hóa và hiệu quả bị ràng buộc bởi bối cảnh hơn là tuân theo một quy luật phổ quát. Beugelsdijk et al. (2018), qua một phân tích tổng hợp về khoảng cách văn hóa và quá trình quốc tế hóa của doanh nghiệp, cho thấy hệ quả của quốc tế hóa phụ thuộc một cách hệ thống vào khoảng cách văn hóa và thể chế giữa thị trường nguồn và thị trường đích; còn Debicki et al. (2020) ghi nhận rằng cường độ xuất khẩu làm suy yếu quan hệ quốc tế hóa và hiệu quả ở doanh nghiệp gia đình. Cả hai củng cố luận điểm rằng phổ ICRV nắm bắt đúng chiều bối cảnh, khoảng cách và cường độ tham gia, mà các thước đo nhị phân bỏ sót.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71"/>
    <w:bookmarkStart w:id="272"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dạng mô hình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dạng mô hình. Hai đặc điểm này, kết hợp với tam giác hóa giữa phân tích tổng hợp và ước lượng gộp ở Mục 5.2.5, đặt cấu trúc ba vùng trên nền tảng xác nhận chéo chứ không phải trên tự do bậc mô hình.</w:t>
      </w:r>
    </w:p>
    <w:bookmarkEnd w:id="272"/>
    <w:bookmarkStart w:id="273"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(qua kiểm định tổng thể, omnibus) rằng các chế độ thể chế ICRV khác biệt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này chỉ khẳng định</w:t>
      </w:r>
      <w:r>
        <w:t xml:space="preserve"> </w:t>
      </w:r>
      <w:r>
        <w:rPr>
          <w:iCs/>
          <w:i/>
        </w:rPr>
        <w:t xml:space="preserve">có</w:t>
      </w:r>
      <w:r>
        <w:t xml:space="preserve"> </w:t>
      </w:r>
      <w:r>
        <w:t xml:space="preserve">khác biệt giữa các chế độ, còn cấu trúc</w:t>
      </w:r>
      <w:r>
        <w:t xml:space="preserve"> </w:t>
      </w:r>
      <w:r>
        <w:rPr>
          <w:iCs/>
          <w:i/>
        </w:rPr>
        <w:t xml:space="preserve">hướng</w:t>
      </w:r>
      <w:r>
        <w:t xml:space="preserve"> </w:t>
      </w:r>
      <w:r>
        <w:t xml:space="preserve">của gradient do P7 cung cấp chứ không phải P6 (xem Mục 4.6.2).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73"/>
    <w:bookmarkStart w:id="274"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thiết lập mô hình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Cụ thể hơn,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74"/>
    <w:bookmarkStart w:id="275"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hoạt động kinh doanh của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75"/>
    <w:bookmarkEnd w:id="276"/>
    <w:bookmarkStart w:id="287" w:name="đóng-góp-lý-thuyết-1"/>
    <w:p>
      <w:pPr>
        <w:pStyle w:val="Heading2"/>
      </w:pPr>
      <w:r>
        <w:t xml:space="preserve">5.3 Đóng góp lý thuyết</w:t>
      </w:r>
    </w:p>
    <w:bookmarkStart w:id="277" w:name="khung-đánh-giá-đóng-góp-lý-thuyết"/>
    <w:p>
      <w:pPr>
        <w:pStyle w:val="Heading3"/>
      </w:pPr>
      <w:r>
        <w:t xml:space="preserve">5.3.0 Khung đánh giá đóng góp lý thuyết</w:t>
      </w:r>
    </w:p>
    <w:p>
      <w:pPr>
        <w:pStyle w:val="FirstParagraph"/>
      </w:pPr>
      <w:r>
        <w:t xml:space="preserve">Trước khi trình bày từng đóng góp, mục này định vị chúng theo hai tiêu chí được chấp nhận rộng rãi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 câu hỏi</w:t>
      </w:r>
      <w:r>
        <w:t xml:space="preserve"> </w:t>
      </w:r>
      <w:r>
        <w:rPr>
          <w:bCs/>
          <w:b/>
        </w:rPr>
        <w:t xml:space="preserve">“</w:t>
      </w:r>
      <w:r>
        <w:rPr>
          <w:bCs/>
          <w:b/>
        </w:rPr>
        <w:t xml:space="preserve">cái gì – như thế nào – vì sao</w:t>
      </w:r>
      <w:r>
        <w:rPr>
          <w:bCs/>
          <w:b/>
        </w:rPr>
        <w:t xml:space="preserve">”</w:t>
      </w:r>
      <w:r>
        <w:t xml:space="preserve"> </w:t>
      </w:r>
      <w:r>
        <w:t xml:space="preserve">mà một đóng góp lý thuyết phải trả lời (Whetten, 1989). Theo Corley và Gioia (2011), một đóng góp có giá trị phải vừa</w:t>
      </w:r>
      <w:r>
        <w:t xml:space="preserve"> </w:t>
      </w:r>
      <w:r>
        <w:rPr>
          <w:iCs/>
          <w:i/>
        </w:rPr>
        <w:t xml:space="preserve">nguyên gốc</w:t>
      </w:r>
      <w:r>
        <w:t xml:space="preserve"> </w:t>
      </w:r>
      <w:r>
        <w:t xml:space="preserve">(tăng tiến hoặc mở đường mới) vừa</w:t>
      </w:r>
      <w:r>
        <w:t xml:space="preserve"> </w:t>
      </w:r>
      <w:r>
        <w:rPr>
          <w:iCs/>
          <w:i/>
        </w:rPr>
        <w:t xml:space="preserve">hữu dụng</w:t>
      </w:r>
      <w:r>
        <w:t xml:space="preserve"> </w:t>
      </w:r>
      <w:r>
        <w:t xml:space="preserve">(cho khoa học hoặc thực tiễn); luận án định vị mỗi đóng góp trên cả hai trục này thay vì chỉ tuyên bố tính mới.</w:t>
      </w:r>
    </w:p>
    <w:p>
      <w:pPr>
        <w:pStyle w:val="BodyText"/>
      </w:pPr>
      <w:r>
        <w:t xml:space="preserve">Điểm phân biệt cốt lõi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được giữ tường minh: việc tái xác nhận chữ U ngược ở từng bối cảnh đơn lẻ (P3, P4, P5) tự nó là</w:t>
      </w:r>
      <w:r>
        <w:t xml:space="preserve"> </w:t>
      </w:r>
      <w:r>
        <w:rPr>
          <w:iCs/>
          <w:i/>
        </w:rPr>
        <w:t xml:space="preserve">nhân rộng</w:t>
      </w:r>
      <w:r>
        <w:t xml:space="preserve"> </w:t>
      </w:r>
      <w:r>
        <w:t xml:space="preserve">có giá trị xác nhận nhưng không phải đóng góp lý thuyết mới; đóng góp nằm ở</w:t>
      </w:r>
      <w:r>
        <w:t xml:space="preserve"> </w:t>
      </w:r>
      <w:r>
        <w:rPr>
          <w:iCs/>
          <w:i/>
        </w:rPr>
        <w:t xml:space="preserve">cấu trúc hóa</w:t>
      </w:r>
      <w:r>
        <w:t xml:space="preserve"> </w:t>
      </w:r>
      <w:r>
        <w:t xml:space="preserve">sự biến thiên xuyên bối cảnh của dạng hàm đó thành một quy luật kiểm định được. Tương ứng, mỗi đóng góp dưới đây được phát biểu dưới dạng</w:t>
      </w:r>
      <w:r>
        <w:t xml:space="preserve"> </w:t>
      </w:r>
      <w:r>
        <w:rPr>
          <w:bCs/>
          <w:b/>
        </w:rPr>
        <w:t xml:space="preserve">mệnh đề có thể bác bỏ</w:t>
      </w:r>
      <w:r>
        <w:t xml:space="preserve"> </w:t>
      </w:r>
      <w:r>
        <w:t xml:space="preserve">(falsifiable) kèm</w:t>
      </w:r>
      <w:r>
        <w:t xml:space="preserve"> </w:t>
      </w:r>
      <w:r>
        <w:rPr>
          <w:bCs/>
          <w:b/>
        </w:rPr>
        <w:t xml:space="preserve">điều kiện phạm vi</w:t>
      </w:r>
      <w:r>
        <w:t xml:space="preserve"> </w:t>
      </w:r>
      <w:r>
        <w:t xml:space="preserve">(scope conditions) tường minh — đặc điểm mà khung CDCM–ICRV–FIP đáp ứng vì nó dự đoán</w:t>
      </w:r>
      <w:r>
        <w:t xml:space="preserve"> </w:t>
      </w:r>
      <w:r>
        <w:rPr>
          <w:iCs/>
          <w:i/>
        </w:rPr>
        <w:t xml:space="preserve">trước</w:t>
      </w:r>
      <w:r>
        <w:t xml:space="preserve"> </w:t>
      </w:r>
      <w:r>
        <w:t xml:space="preserve">vị trí và sự tồn tại của điểm uốn theo chế độ thể chế, do đó có thể sai nếu dữ liệu không khớp. Bốn đóng góp dưới đây (5.3.1–5.3.7) lần lượt trả lời:</w:t>
      </w:r>
      <w:r>
        <w:t xml:space="preserve"> </w:t>
      </w:r>
      <w:r>
        <w:rPr>
          <w:iCs/>
          <w:i/>
        </w:rPr>
        <w:t xml:space="preserve">cái gì</w:t>
      </w:r>
      <w:r>
        <w:t xml:space="preserve"> </w:t>
      </w:r>
      <w:r>
        <w:t xml:space="preserve">mới được đưa vào (DAI là nguồn lực tình huống; FIP; ICRV; điều kiện ổn định thể chế),</w:t>
      </w:r>
      <w:r>
        <w:t xml:space="preserve"> </w:t>
      </w:r>
      <w:r>
        <w:rPr>
          <w:iCs/>
          <w:i/>
        </w:rPr>
        <w:t xml:space="preserve">như thế nào</w:t>
      </w:r>
      <w:r>
        <w:t xml:space="preserve"> </w:t>
      </w:r>
      <w:r>
        <w:t xml:space="preserve">các cấu trúc này vận hành (qua nâng mặt bằng vs uốn đường cong; qua dịch chuyển vs hòa tan điểm uốn), và</w:t>
      </w:r>
      <w:r>
        <w:t xml:space="preserve"> </w:t>
      </w:r>
      <w:r>
        <w:rPr>
          <w:iCs/>
          <w:i/>
        </w:rPr>
        <w:t xml:space="preserve">vì sao bây giờ</w:t>
      </w:r>
      <w:r>
        <w:t xml:space="preserve"> </w:t>
      </w:r>
      <w:r>
        <w:t xml:space="preserve">(kỷ nguyên số và sự sẵn có lần đầu của dữ liệu doanh nghiệp hài hòa cho 50 nền châu Á – Thái Bình Dương, gồm Nhật Bản 2025).</w:t>
      </w:r>
    </w:p>
    <w:bookmarkEnd w:id="277"/>
    <w:bookmarkStart w:id="278"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78"/>
    <w:bookmarkStart w:id="279"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+0,28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79"/>
    <w:bookmarkStart w:id="280"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80"/>
    <w:bookmarkStart w:id="281"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r>
        <w:t xml:space="preserve"> </w:t>
      </w:r>
      <w:r>
        <w:rPr>
          <w:bCs/>
          <w:b/>
        </w:rPr>
        <w:t xml:space="preserve">Lưu ý về phạm vi áp dụng:</w:t>
      </w:r>
      <w:r>
        <w:t xml:space="preserve"> </w:t>
      </w:r>
      <w:r>
        <w:t xml:space="preserve">khung sáu chế độ đầy đủ (Nhóm I tới VI, trong đó Nhóm VI là SIDS) được vận hành ở phân tích cấp doanh nghiệp (P7), nơi tồn tại các doanh nghiệp đảo nhỏ trong dữ liệu WBES; còn phân tích tổng hợp ba tầng (P6) sử dụng năm chế độ vì chế độ SIDS không có nghiên cứu sơ cấp công bố cung cấp cỡ ảnh hưởng quốc tế hóa–hiệu quả (</w:t>
      </w:r>
      <m:oMath>
        <m:r>
          <m:t>k</m:t>
        </m:r>
        <m:r>
          <m:rPr>
            <m:sty m:val="p"/>
          </m:rPr>
          <m:t>=</m:t>
        </m:r>
        <m:r>
          <m:t>0</m:t>
        </m:r>
      </m:oMath>
      <w:r>
        <w:t xml:space="preserve">), nên không thể đưa vào kiểm định giữa các chế độ ở cấp phân tích tổng hợp.</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81"/>
    <w:bookmarkStart w:id="282"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Bậc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82"/>
    <w:bookmarkStart w:id="283"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một dải liên tục từ chữ U ngược đến mất cấu trúc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283"/>
    <w:bookmarkStart w:id="284"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84"/>
    <w:bookmarkStart w:id="285"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85"/>
    <w:bookmarkStart w:id="286" w:name="X424c76d92b37ed9a157ad7d30d86350b2c8bf81"/>
    <w:p>
      <w:pPr>
        <w:pStyle w:val="Heading3"/>
      </w:pPr>
      <w:r>
        <w:t xml:space="preserve">5.3.8 Điều kiện phạm vi và cơ sở nhận dạng nhân quả của khung CDCM</w:t>
      </w:r>
    </w:p>
    <w:p>
      <w:pPr>
        <w:pStyle w:val="FirstParagraph"/>
      </w:pPr>
      <w:r>
        <w:t xml:space="preserve">Một đóng góp lý thuyết đạt chuẩn quốc tế phải nêu rõ không chỉ</w:t>
      </w:r>
      <w:r>
        <w:t xml:space="preserve"> </w:t>
      </w:r>
      <w:r>
        <w:rPr>
          <w:iCs/>
          <w:i/>
        </w:rPr>
        <w:t xml:space="preserve">nó khẳng định điều gì</w:t>
      </w:r>
      <w:r>
        <w:t xml:space="preserve"> </w:t>
      </w:r>
      <w:r>
        <w:t xml:space="preserve">mà cả</w:t>
      </w:r>
      <w:r>
        <w:t xml:space="preserve"> </w:t>
      </w:r>
      <w:r>
        <w:rPr>
          <w:iCs/>
          <w:i/>
        </w:rPr>
        <w:t xml:space="preserve">trong những điều kiện nào điều đó đúng</w:t>
      </w:r>
      <w:r>
        <w:t xml:space="preserve"> </w:t>
      </w:r>
      <w:r>
        <w:t xml:space="preserve">và</w:t>
      </w:r>
      <w:r>
        <w:t xml:space="preserve"> </w:t>
      </w:r>
      <w:r>
        <w:rPr>
          <w:iCs/>
          <w:i/>
        </w:rPr>
        <w:t xml:space="preserve">cơ sở suy luận nào nâng đỡ khẳng định</w:t>
      </w:r>
      <w:r>
        <w:t xml:space="preserve"> </w:t>
      </w:r>
      <w:r>
        <w:t xml:space="preserve">(Santangelo &amp; Verbeke, 2022). Mục này phát biểu tường minh hai điều đó cho khung CDCM, tách bạch khỏi các hạn chế nghiên cứu (Mục 5.5) vốn nói về điểm yếu của thiết kế chứ không phải ranh giới của lý thuyết.</w:t>
      </w:r>
    </w:p>
    <w:p>
      <w:pPr>
        <w:pStyle w:val="BodyText"/>
      </w:pPr>
      <w:r>
        <w:rPr>
          <w:bCs/>
          <w:b/>
        </w:rPr>
        <w:t xml:space="preserve">Điều kiện phạm vi (boundary conditions).</w:t>
      </w:r>
      <w:r>
        <w:t xml:space="preserve"> </w:t>
      </w:r>
      <w:r>
        <w:t xml:space="preserve">Khung CDCM được phát biểu trong một miền ứng dụng xác định, và chính sự xác định này làm cho nó có thể bị bác bỏ. Thứ nhất,</w:t>
      </w:r>
      <w:r>
        <w:t xml:space="preserve"> </w:t>
      </w:r>
      <w:r>
        <w:rPr>
          <w:iCs/>
          <w:i/>
        </w:rPr>
        <w:t xml:space="preserve">đơn vị và thước đo</w:t>
      </w:r>
      <w:r>
        <w:t xml:space="preserve">: khung áp dụng cho quan hệ ở</w:t>
      </w:r>
      <w:r>
        <w:t xml:space="preserve"> </w:t>
      </w:r>
      <w:r>
        <w:rPr>
          <w:bCs/>
          <w:b/>
        </w:rPr>
        <w:t xml:space="preserve">cấp doanh nghiệp</w:t>
      </w:r>
      <w:r>
        <w:t xml:space="preserve"> </w:t>
      </w:r>
      <w:r>
        <w:t xml:space="preserve">với mức độ quốc tế hóa được đo bằng</w:t>
      </w:r>
      <w:r>
        <w:t xml:space="preserve"> </w:t>
      </w:r>
      <w:r>
        <w:rPr>
          <w:bCs/>
          <w:b/>
        </w:rPr>
        <w:t xml:space="preserve">cường độ xuất khẩu (chiều doanh số của DOI)</w:t>
      </w:r>
      <w:r>
        <w:t xml:space="preserve">; các chiều khác của quốc tế hóa (phạm vi địa lý, chiều sâu cam kết qua đầu tư trực tiếp ra nước ngoài) nằm ngoài phạm vi đã kiểm định và là điều kiện biên cần nhân rộng (Mục 5.5.3.3). Thứ hai,</w:t>
      </w:r>
      <w:r>
        <w:t xml:space="preserve"> </w:t>
      </w:r>
      <w:r>
        <w:rPr>
          <w:iCs/>
          <w:i/>
        </w:rPr>
        <w:t xml:space="preserve">miền thể chế</w:t>
      </w:r>
      <w:r>
        <w:t xml:space="preserve">: khung được hiệu chỉnh và kiểm định trên</w:t>
      </w:r>
      <w:r>
        <w:t xml:space="preserve"> </w:t>
      </w:r>
      <w:r>
        <w:rPr>
          <w:bCs/>
          <w:b/>
        </w:rPr>
        <w:t xml:space="preserve">phổ thể chế châu Á và Thái Bình Dương</w:t>
      </w:r>
      <w:r>
        <w:t xml:space="preserve"> </w:t>
      </w:r>
      <w:r>
        <w:t xml:space="preserve">giai đoạn 2006–2026; việc mở rộng sang các khu vực có cấu hình thể chế khác (Mỹ Latinh, châu Phi hạ Sahara) là một kiểm định phạm vi mở. Thứ ba,</w:t>
      </w:r>
      <w:r>
        <w:t xml:space="preserve"> </w:t>
      </w:r>
      <w:r>
        <w:rPr>
          <w:iCs/>
          <w:i/>
        </w:rPr>
        <w:t xml:space="preserve">giả định cấu trúc tối thiểu</w:t>
      </w:r>
      <w:r>
        <w:t xml:space="preserve">: khung ngầm giả định ba điều kiện cấu trúc — thị trường nội địa đủ lớn, chi phí thương mại không quá cao, và tồn tại hỗ trợ thể chế tối thiểu — được thỏa mãn; chính việc</w:t>
      </w:r>
      <w:r>
        <w:t xml:space="preserve"> </w:t>
      </w:r>
      <w:r>
        <w:rPr>
          <w:bCs/>
          <w:b/>
        </w:rPr>
        <w:t xml:space="preserve">định danh trường hợp các giả định này đồng thời bị vi phạm</w:t>
      </w:r>
      <w:r>
        <w:t xml:space="preserve"> </w:t>
      </w:r>
      <w:r>
        <w:t xml:space="preserve">(chế độ SIDS, qua khái niệm FIP) là cách luận án biến điều kiện biên ngầm của cả họ lý thuyết chữ U ngược thành một mệnh đề tường minh. Khung do đó tự nêu ranh giới ứng dụng của chính nó: tại biên dưới cực trị của phổ thể chế, dạng hàm chữ U ngược không còn là mô tả đúng.</w:t>
      </w:r>
    </w:p>
    <w:p>
      <w:pPr>
        <w:pStyle w:val="BodyText"/>
      </w:pPr>
      <w:r>
        <w:rPr>
          <w:bCs/>
          <w:b/>
        </w:rPr>
        <w:t xml:space="preserve">Cơ sở nhận dạng nhân quả.</w:t>
      </w:r>
      <w:r>
        <w:t xml:space="preserve"> </w:t>
      </w:r>
      <w:r>
        <w:t xml:space="preserve">Luận án giữ thái độ suy luận thận trọng và nhất quán: thiết kế dữ liệu là</w:t>
      </w:r>
      <w:r>
        <w:t xml:space="preserve"> </w:t>
      </w:r>
      <w:r>
        <w:rPr>
          <w:bCs/>
          <w:b/>
        </w:rPr>
        <w:t xml:space="preserve">chuỗi cắt ngang lặp lại</w:t>
      </w:r>
      <w:r>
        <w:t xml:space="preserve"> </w:t>
      </w:r>
      <w:r>
        <w:t xml:space="preserve">(không phải dữ liệu bảng theo dõi cùng doanh nghiệp), nên các phát biểu được hiểu là</w:t>
      </w:r>
      <w:r>
        <w:t xml:space="preserve"> </w:t>
      </w:r>
      <w:r>
        <w:rPr>
          <w:bCs/>
          <w:b/>
        </w:rPr>
        <w:t xml:space="preserve">quan hệ cấu trúc có điều kiện</w:t>
      </w:r>
      <w:r>
        <w:t xml:space="preserve"> </w:t>
      </w:r>
      <w:r>
        <w:t xml:space="preserve">chứ không phải hiệu ứng nhân quả điểm được nhận dạng chặt. Tuy vậy, độ tin cậy của luận điểm trung tâm không dựa trên một ước lượng đơn lẻ mà trên</w:t>
      </w:r>
      <w:r>
        <w:t xml:space="preserve"> </w:t>
      </w:r>
      <w:r>
        <w:rPr>
          <w:bCs/>
          <w:b/>
        </w:rPr>
        <w:t xml:space="preserve">tam giác hóa nhiều nguồn nhận dạng có thiên lệch không trùng nhau</w:t>
      </w:r>
      <w:r>
        <w:t xml:space="preserve">: (i) biến công cụ cho chấp nhận số với kiểm định độ mạnh công cụ (Mục 3.5.6.1), cho hệ số DAI được công cụ hóa gần</w:t>
      </w:r>
      <w:r>
        <w:t xml:space="preserve"> </w:t>
      </w:r>
      <w:r>
        <w:t xml:space="preserve">“</w:t>
      </w:r>
      <w:r>
        <w:t xml:space="preserve">không</w:t>
      </w:r>
      <w:r>
        <w:t xml:space="preserve">”</w:t>
      </w:r>
      <w:r>
        <w:t xml:space="preserve"> </w:t>
      </w:r>
      <w:r>
        <w:t xml:space="preserve">— gợi ý phần lớn tương quan DAI–hiệu quả mang tính chọn lọc chứ không nhân quả, một kết luận</w:t>
      </w:r>
      <w:r>
        <w:t xml:space="preserve"> </w:t>
      </w:r>
      <w:r>
        <w:rPr>
          <w:iCs/>
          <w:i/>
        </w:rPr>
        <w:t xml:space="preserve">khiêm tốn hóa</w:t>
      </w:r>
      <w:r>
        <w:t xml:space="preserve"> </w:t>
      </w:r>
      <w:r>
        <w:t xml:space="preserve">chứ không thổi phồng; (ii) giới hạn Oster về thiên lệch do biến bỏ sót không quan sát (Mục 3.5.6.2); (iii) kiểm định ổn định hệ số Paternoster xuyên đợt khảo sát (P5:</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(iv)</w:t>
      </w:r>
      <w:r>
        <w:t xml:space="preserve"> </w:t>
      </w:r>
      <w:r>
        <w:rPr>
          <w:bCs/>
          <w:b/>
        </w:rPr>
        <w:t xml:space="preserve">tính nhất quán về dấu xuyên nhiều mô hình</w:t>
      </w:r>
      <w:r>
        <w:t xml:space="preserve"> </w:t>
      </w:r>
      <w:r>
        <w:t xml:space="preserve">như nguyên tắc suy luận nền tảng (Mục 3.5.6.3); và (v) sự hội tụ giữa phân tích tổng hợp (P6) và ước lượng gộp cấp doanh nghiệp (P7) — hai phương pháp chịu các nguồn thiên lệch khác nhau nhưng cùng định vị thể chế là biến điều tiết then chốt (Mục 5.2.5). Khi năm nguồn nhận dạng với điểm yếu bù trừ lẫn nhau cùng chỉ về một kết luận, luận điểm cấu trúc trở nên khó quy về tạo tác của một quy trình phân tích đơn lẻ, ngay cả khi từng nguồn riêng lẻ không đủ để nhận dạng nhân quả điểm. Đây chính là chuẩn suy luận mà tài liệu kinh doanh quốc tế đương đại kỳ vọng ở thiết kế quan sát đa bối cảnh.</w:t>
      </w:r>
    </w:p>
    <w:bookmarkEnd w:id="286"/>
    <w:bookmarkEnd w:id="287"/>
    <w:bookmarkStart w:id="296"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88"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Phổ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88"/>
    <w:bookmarkStart w:id="289"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5"/>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5"/>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5"/>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5"/>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89"/>
    <w:bookmarkStart w:id="290"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90"/>
    <w:bookmarkStart w:id="291"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Bậc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91"/>
    <w:bookmarkStart w:id="292"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292"/>
    <w:bookmarkStart w:id="293"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293"/>
    <w:bookmarkStart w:id="294"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94"/>
    <w:bookmarkStart w:id="295"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95"/>
    <w:bookmarkEnd w:id="296"/>
    <w:bookmarkStart w:id="306" w:name="hạn-chế-và-hướng-nghiên-cứu-tương-lai"/>
    <w:p>
      <w:pPr>
        <w:pStyle w:val="Heading2"/>
      </w:pPr>
      <w:r>
        <w:t xml:space="preserve">5.5 Hạn chế và hướng nghiên cứu tương lai</w:t>
      </w:r>
    </w:p>
    <w:bookmarkStart w:id="297"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Bậc 1 DAI (website, email, online sales) được sử dụng do hạn chế của các làn sóng 2009 và 2015, trong khi Bậc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297"/>
    <w:bookmarkStart w:id="298"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98"/>
    <w:bookmarkStart w:id="299"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299"/>
    <w:bookmarkStart w:id="300"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Bậc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Bậc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Bậc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Bậc 1 chứ không phải sự vắng mặt của cơ chế. Hạn chế này có hệ quả trực tiếp: các kết luận về DAI ở những bối cảnh chỉ đo được Bậc 1 nên được hiểu là chưa kết luận hơn là bác bỏ, và việc kiểm định lại với thước đo Bậc 2 và Bậc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300"/>
    <w:bookmarkStart w:id="301"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301"/>
    <w:bookmarkStart w:id="302"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302"/>
    <w:bookmarkStart w:id="303"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303"/>
    <w:bookmarkStart w:id="304"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304"/>
    <w:bookmarkStart w:id="305"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(Bậc 2 và Bậc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đặc điểm nhà quản trị cấp cao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phân hệ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305"/>
    <w:bookmarkEnd w:id="306"/>
    <w:bookmarkStart w:id="311" w:name="kết-luận"/>
    <w:p>
      <w:pPr>
        <w:pStyle w:val="Heading2"/>
      </w:pPr>
      <w:r>
        <w:t xml:space="preserve">5.6 Kết luận</w:t>
      </w:r>
    </w:p>
    <w:bookmarkStart w:id="307"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6"/>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6"/>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6"/>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6"/>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6"/>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6"/>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6"/>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6"/>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16"/>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Bậc 2 (UPI) âm, bằng chứng đầu tiên rằng chuyển đổi thể chế cực mạnh có thể hòa tan chứ không chỉ dịch chuyển ngưỡng.</w:t>
      </w:r>
    </w:p>
    <w:p>
      <w:pPr>
        <w:numPr>
          <w:ilvl w:val="0"/>
          <w:numId w:val="1016"/>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6"/>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307"/>
    <w:bookmarkStart w:id="308"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308"/>
    <w:bookmarkStart w:id="309"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309"/>
    <w:bookmarkStart w:id="310" w:name="lời-kết"/>
    <w:p>
      <w:pPr>
        <w:pStyle w:val="Heading3"/>
      </w:pPr>
      <w:r>
        <w:t xml:space="preserve">5.6.4 Lời kết</w:t>
      </w:r>
    </w:p>
    <w:p>
      <w:pPr>
        <w:pStyle w:val="FirstParagraph"/>
      </w:pPr>
      <w:r>
        <w:t xml:space="preserve">Luận án này bắt đầu từ câu hỏi đơn giản: quốc tế hóa có cải thiện hiệu quả hoạt động kinh doanh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p>
      <w:r>
        <w:br w:type="page"/>
      </w:r>
    </w:p>
    <w:bookmarkEnd w:id="310"/>
    <w:bookmarkEnd w:id="311"/>
    <w:bookmarkStart w:id="312"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hoạt động kinh doanh của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 https://doi.org/10.1177/0149206306293575</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Hunter, J. E., &amp; Schmidt, F. L. (2004).</w:t>
      </w:r>
      <w:r>
        <w:t xml:space="preserve"> </w:t>
      </w:r>
      <w:r>
        <w:rPr>
          <w:iCs/>
          <w:i/>
        </w:rPr>
        <w:t xml:space="preserve">Methods of meta-analysis: Correcting error and bias in research findings</w:t>
      </w:r>
      <w:r>
        <w:t xml:space="preserve"> </w:t>
      </w:r>
      <w:r>
        <w:t xml:space="preserve">(2nd ed.). Sage.</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(2001). The resource-based view and international business.</w:t>
      </w:r>
      <w:r>
        <w:t xml:space="preserve"> </w:t>
      </w:r>
      <w:r>
        <w:rPr>
          <w:iCs/>
          <w:i/>
        </w:rPr>
        <w:t xml:space="preserve">Journal of Management, 27</w:t>
      </w:r>
      <w:r>
        <w:t xml:space="preserve">(6), 803–829. https://doi.org/10.1177/014920630102700604</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r>
        <w:br w:type="page"/>
      </w:r>
    </w:p>
    <w:bookmarkEnd w:id="312"/>
    <w:bookmarkStart w:id="323"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13"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13"/>
    <w:bookmarkStart w:id="314"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14"/>
    <w:bookmarkStart w:id="315"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thành phần dữ liệu bảng (panel), khu vực phi chính thức,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phân tích 50 nền =</w:t>
            </w:r>
            <w:r>
              <w:t xml:space="preserve"> </w:t>
            </w:r>
            <w:r>
              <w:rPr>
                <w:bCs/>
                <w:b/>
              </w:rPr>
              <w:t xml:space="preserve">88.869</w:t>
            </w:r>
            <w:r>
              <w:t xml:space="preserve"> </w:t>
            </w:r>
            <w:r>
              <w:t xml:space="preserve">DN / 103 cặp nền-năm</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listwise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lockText"/>
      </w:pPr>
      <w:r>
        <w:rPr>
          <w:bCs/>
          <w:b/>
        </w:rPr>
        <w:t xml:space="preserve">Lưu ý về khung mô tả LP-valid (Bảng 4.1, Chương 4).</w:t>
      </w:r>
      <w:r>
        <w:t xml:space="preserve"> </w:t>
      </w:r>
      <w:r>
        <w:t xml:space="preserve">Thống kê mô tả ở Chương 4</w:t>
      </w:r>
      <w:r>
        <w:t xml:space="preserve"> </w:t>
      </w:r>
      <w:r>
        <w:t xml:space="preserve">dựa trên</w:t>
      </w:r>
      <w:r>
        <w:t xml:space="preserve"> </w:t>
      </w:r>
      <w:r>
        <w:rPr>
          <w:bCs/>
          <w:b/>
        </w:rPr>
        <w:t xml:space="preserve">khung mô tả năng suất lao động hợp lệ (LP-valid)</w:t>
      </w:r>
      <w:r>
        <w:t xml:space="preserve"> </w:t>
      </w:r>
      <w:r>
        <w:t xml:space="preserve">=</w:t>
      </w:r>
      <w:r>
        <w:t xml:space="preserve"> </w:t>
      </w:r>
      <w:r>
        <w:rPr>
          <w:bCs/>
          <w:b/>
        </w:rPr>
        <w:t xml:space="preserve">84.998 DN / 50 nền /</w:t>
      </w:r>
      <w:r>
        <w:rPr>
          <w:bCs/>
          <w:b/>
        </w:rPr>
        <w:t xml:space="preserve"> </w:t>
      </w:r>
      <w:r>
        <w:rPr>
          <w:bCs/>
          <w:b/>
        </w:rPr>
        <w:t xml:space="preserve">107 cặp nền-năm</w:t>
      </w:r>
      <w:r>
        <w:t xml:space="preserve">, dựng bằng pipeline mô tả chuẩn (</w:t>
      </w:r>
      <w:r>
        <w:rPr>
          <w:rStyle w:val="VerbatimChar"/>
        </w:rPr>
        <w:t xml:space="preserve">scripts/relock_descriptives_canonical.py</w:t>
      </w:r>
      <w:r>
        <w:t xml:space="preserve">).</w:t>
      </w:r>
      <w:r>
        <w:t xml:space="preserve"> </w:t>
      </w:r>
      <w:r>
        <w:t xml:space="preserve">Khung này</w:t>
      </w:r>
      <w:r>
        <w:t xml:space="preserve"> </w:t>
      </w:r>
      <w:r>
        <w:rPr>
          <w:bCs/>
          <w:b/>
        </w:rPr>
        <w:t xml:space="preserve">không lồng</w:t>
      </w:r>
      <w:r>
        <w:t xml:space="preserve"> </w:t>
      </w:r>
      <w:r>
        <w:t xml:space="preserve">trong khung phân tích 88.869/103 cặp ở S5–S6 vì hai tiêu chí</w:t>
      </w:r>
      <w:r>
        <w:t xml:space="preserve"> </w:t>
      </w:r>
      <w:r>
        <w:t xml:space="preserve">đưa vào khác nhau: (i) khung mô tả chỉ đòi hỏi</w:t>
      </w:r>
      <w:r>
        <w:t xml:space="preserve"> </w:t>
      </w:r>
      <w:r>
        <w:rPr>
          <w:bCs/>
          <w:b/>
        </w:rPr>
        <w:t xml:space="preserve">năng suất lao động hợp lệ</w:t>
      </w:r>
      <w:r>
        <w:t xml:space="preserve"> </w:t>
      </w:r>
      <w:r>
        <w:t xml:space="preserve">(winsorize</w:t>
      </w:r>
      <w:r>
        <w:t xml:space="preserve"> </w:t>
      </w:r>
      <w:r>
        <w:t xml:space="preserve">1/99 trong từng cặp nền–năm), nên trải trên</w:t>
      </w:r>
      <w:r>
        <w:t xml:space="preserve"> </w:t>
      </w:r>
      <w:r>
        <w:rPr>
          <w:bCs/>
          <w:b/>
        </w:rPr>
        <w:t xml:space="preserve">107</w:t>
      </w:r>
      <w:r>
        <w:t xml:space="preserve"> </w:t>
      </w:r>
      <w:r>
        <w:t xml:space="preserve">cặp — thêm 4 cặp nền-năm thưa có</w:t>
      </w:r>
      <w:r>
        <w:t xml:space="preserve"> </w:t>
      </w:r>
      <w:r>
        <w:t xml:space="preserve">doanh nghiệp LP hợp lệ nhưng bị khung hồi quy loại do thiếu biến kiểm soát trọng tâm;</w:t>
      </w:r>
      <w:r>
        <w:t xml:space="preserve"> </w:t>
      </w:r>
      <w:r>
        <w:t xml:space="preserve">(ii) khung phân tích 103 cặp đòi hỏi</w:t>
      </w:r>
      <w:r>
        <w:t xml:space="preserve"> </w:t>
      </w:r>
      <w:r>
        <w:rPr>
          <w:bCs/>
          <w:b/>
        </w:rPr>
        <w:t xml:space="preserve">đủ cả biến phụ thuộc lẫn biến giải thích cốt lõi</w:t>
      </w:r>
      <w:r>
        <w:t xml:space="preserve">,</w:t>
      </w:r>
      <w:r>
        <w:t xml:space="preserve"> </w:t>
      </w:r>
      <w:r>
        <w:t xml:space="preserve">nên có ít cặp hơn nhưng nhiều doanh nghiệp hơn (88.869). Vì vậy hai con số 103 và 107</w:t>
      </w:r>
      <w:r>
        <w:t xml:space="preserve"> </w:t>
      </w:r>
      <w:r>
        <w:rPr>
          <w:bCs/>
          <w:b/>
        </w:rPr>
        <w:t xml:space="preserve">không mâu thuẫn</w:t>
      </w:r>
      <w:r>
        <w:t xml:space="preserve"> </w:t>
      </w:r>
      <w:r>
        <w:t xml:space="preserve">mà phản ánh hai lớp khung phục vụ hai mục đích (mô tả vs hồi quy).</w:t>
      </w:r>
    </w:p>
    <w:p>
      <w:pPr>
        <w:pStyle w:val="FirstParagraph"/>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15"/>
    <w:bookmarkStart w:id="316"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phân hệ cốt lõi bất biến của bộ công cụ WBES</w:t>
      </w:r>
      <w:r>
        <w:t xml:space="preserve"> </w:t>
      </w:r>
      <w:r>
        <w:t xml:space="preserve">toàn cầu (World Bank, 2019). Các biến trọng tâm và quy tắc xây dựng:</w:t>
      </w:r>
    </w:p>
    <w:p>
      <w:pPr>
        <w:numPr>
          <w:ilvl w:val="0"/>
          <w:numId w:val="1017"/>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17"/>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17"/>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17"/>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16"/>
    <w:bookmarkStart w:id="317"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18"/>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18"/>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17"/>
    <w:bookmarkStart w:id="318"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dữ liệu bảng, ước lượng tuân theo khung</w:t>
      </w:r>
      <w:r>
        <w:t xml:space="preserve"> </w:t>
      </w:r>
      <w:r>
        <w:rPr>
          <w:bCs/>
          <w:b/>
        </w:rPr>
        <w:t xml:space="preserve">gộp lát cắt ngang (pooled</w:t>
      </w:r>
      <w:r>
        <w:rPr>
          <w:bCs/>
          <w:b/>
        </w:rPr>
        <w:t xml:space="preserve"> </w:t>
      </w:r>
      <w:r>
        <w:rPr>
          <w:bCs/>
          <w:b/>
        </w:rPr>
        <w:t xml:space="preserve">cross-section) với hiệu ứng cố định</w:t>
      </w:r>
      <w:r>
        <w:t xml:space="preserve"> </w:t>
      </w:r>
      <w:r>
        <w:t xml:space="preserve">thay vì mô hình bảng động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18"/>
    <w:bookmarkStart w:id="319"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19"/>
    <w:bookmarkStart w:id="320"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20"/>
    <w:bookmarkStart w:id="321"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mô hình và kiểm tra tính ổn định của</w:t>
      </w:r>
      <w:r>
        <w:t xml:space="preserve"> </w:t>
      </w:r>
      <w:r>
        <w:t xml:space="preserve">điểm uốn để bảo đảm kết quả không bị chi phối bởi cơ chế khuyết (Little &amp; Rubin, 2019).</w:t>
      </w:r>
    </w:p>
    <w:bookmarkEnd w:id="321"/>
    <w:bookmarkStart w:id="322"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biến đại diện (proxy) cho hiệu quả, không phải</w:t>
      </w:r>
      <w:r>
        <w:t xml:space="preserve"> </w:t>
      </w:r>
      <w:r>
        <w:t xml:space="preserve">TFPR trực tiếp; (iii) đo lường DAI bị giới hạn ở biến đại diện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19"/>
        </w:numPr>
        <w:pStyle w:val="Compact"/>
      </w:pPr>
      <w:r>
        <w:rPr>
          <w:rStyle w:val="VerbatimChar"/>
        </w:rPr>
        <w:t xml:space="preserve">scripts/build_pooled_dataset.py</w:t>
      </w:r>
    </w:p>
    <w:p>
      <w:pPr>
        <w:numPr>
          <w:ilvl w:val="0"/>
          <w:numId w:val="1019"/>
        </w:numPr>
        <w:pStyle w:val="Compact"/>
      </w:pPr>
      <w:r>
        <w:rPr>
          <w:rStyle w:val="VerbatimChar"/>
        </w:rPr>
        <w:t xml:space="preserve">scripts/wbes_canon.py</w:t>
      </w:r>
    </w:p>
    <w:p>
      <w:pPr>
        <w:numPr>
          <w:ilvl w:val="0"/>
          <w:numId w:val="1019"/>
        </w:numPr>
        <w:pStyle w:val="Compact"/>
      </w:pPr>
      <w:r>
        <w:rPr>
          <w:rStyle w:val="VerbatimChar"/>
        </w:rPr>
        <w:t xml:space="preserve">scripts/cd1_descriptives_pipeline.py</w:t>
      </w:r>
    </w:p>
    <w:p>
      <w:pPr>
        <w:numPr>
          <w:ilvl w:val="0"/>
          <w:numId w:val="1019"/>
        </w:numPr>
        <w:pStyle w:val="Compact"/>
      </w:pPr>
      <w:r>
        <w:rPr>
          <w:rStyle w:val="VerbatimChar"/>
        </w:rPr>
        <w:t xml:space="preserve">data_wbes/analysis/pooled_dataflow.csv</w:t>
      </w:r>
    </w:p>
    <w:p>
      <w:pPr>
        <w:numPr>
          <w:ilvl w:val="0"/>
          <w:numId w:val="1019"/>
        </w:numPr>
        <w:pStyle w:val="Compact"/>
      </w:pPr>
      <w:r>
        <w:rPr>
          <w:rStyle w:val="VerbatimChar"/>
        </w:rPr>
        <w:t xml:space="preserve">DATA_UPDATE_MANIFEST.md</w:t>
      </w:r>
    </w:p>
    <w:p>
      <w:pPr>
        <w:numPr>
          <w:ilvl w:val="0"/>
          <w:numId w:val="1019"/>
        </w:numPr>
        <w:pStyle w:val="Compact"/>
      </w:pPr>
      <w:r>
        <w:rPr>
          <w:rStyle w:val="VerbatimChar"/>
        </w:rPr>
        <w:t xml:space="preserve">CANONICAL_RECONCILIATION.md</w:t>
      </w:r>
    </w:p>
    <w:p>
      <w:r>
        <w:br w:type="page"/>
      </w:r>
    </w:p>
    <w:bookmarkEnd w:id="322"/>
    <w:bookmarkEnd w:id="32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51" Target="media/rId151.png" /><Relationship Type="http://schemas.openxmlformats.org/officeDocument/2006/relationships/image" Id="rId148" Target="media/rId148.png" /><Relationship Type="http://schemas.openxmlformats.org/officeDocument/2006/relationships/image" Id="rId168" Target="media/rId168.png" /><Relationship Type="http://schemas.openxmlformats.org/officeDocument/2006/relationships/image" Id="rId155" Target="media/rId155.png" /><Relationship Type="http://schemas.openxmlformats.org/officeDocument/2006/relationships/image" Id="rId159" Target="media/rId159.png" /><Relationship Type="http://schemas.openxmlformats.org/officeDocument/2006/relationships/image" Id="rId231" Target="media/rId231.png" /><Relationship Type="http://schemas.openxmlformats.org/officeDocument/2006/relationships/image" Id="rId171" Target="media/rId171.png" /><Relationship Type="http://schemas.openxmlformats.org/officeDocument/2006/relationships/image" Id="rId219" Target="media/rId219.png" /><Relationship Type="http://schemas.openxmlformats.org/officeDocument/2006/relationships/image" Id="rId165" Target="media/rId16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2026-06-24T12:40:59Z</dcterms:created>
  <dcterms:modified xsi:type="dcterms:W3CDTF">2026-06-24T12:40:59Z</dcterms:modified>
</cp:coreProperties>
</file>

<file path=docProps/custom.xml><?xml version="1.0" encoding="utf-8"?>
<Properties xmlns="http://schemas.openxmlformats.org/officeDocument/2006/custom-properties" xmlns:vt="http://schemas.openxmlformats.org/officeDocument/2006/docPropsVTypes"/>
</file>