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Author details removed for blind review</w:t>
      </w:r>
    </w:p>
    <w:p>
      <w:pPr>
        <w:pStyle w:val="BodyText"/>
      </w:pPr>
      <w:r>
        <w:rPr>
          <w:iCs/>
          <w:i/>
        </w:rPr>
        <w:t xml:space="preserve">6 May 2026</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4 (Table 1 descriptives; Table 2 focal coefficient summary; Table 3 robustness panels; Table 4 turning points).</w:t>
      </w:r>
    </w:p>
    <w:p>
      <w:pPr>
        <w:pStyle w:val="BodyText"/>
      </w:pPr>
      <w:r>
        <w:rPr>
          <w:bCs/>
          <w:b/>
        </w:rPr>
        <w:t xml:space="preserve">Figures:</w:t>
      </w:r>
      <w:r>
        <w:t xml:space="preserve"> </w:t>
      </w:r>
      <w:r>
        <w:t xml:space="preserve">6 (Figure 1 conceptual model; Figures 2a–2d wave-specific FSTS curves; Figure 3 moderation curves at p25 vs p75 of moderator).</w:t>
      </w:r>
    </w:p>
    <w:p>
      <w:r>
        <w:pict>
          <v:rect style="width:0;height:1.5pt" o:hralign="center" o:hrstd="t" o:hr="t"/>
        </w:pict>
      </w:r>
    </w:p>
    <w:bookmarkStart w:id="20" w:name="abstract"/>
    <w:p>
      <w:pPr>
        <w:pStyle w:val="Heading2"/>
      </w:pPr>
      <w:r>
        <w:t xml:space="preserve">Abstract</w:t>
      </w:r>
    </w:p>
    <w:p>
      <w:pPr>
        <w:pStyle w:val="FirstParagraph"/>
      </w:pPr>
      <w:r>
        <w:t xml:space="preserve">Purpose — This study revisits the internationalisation–performance relationship in an emerging</w:t>
      </w:r>
      <w:r>
        <w:t xml:space="preserve"> </w:t>
      </w:r>
      <w:r>
        <w:t xml:space="preserve">market and examines how technological capability and foundational digital adoption are associated with firms’ productivity under conditions of institutional and digital transition. Focusing</w:t>
      </w:r>
      <w:r>
        <w:t xml:space="preserve"> </w:t>
      </w:r>
      <w:r>
        <w:t xml:space="preserve">on Vietnam, it asks whether export intensity is nonlinearly associated with labour productivity</w:t>
      </w:r>
      <w:r>
        <w:t xml:space="preserve"> </w:t>
      </w:r>
      <w:r>
        <w:t xml:space="preserve">and whether technological capability and foundational digital adoption play distinct roles across</w:t>
      </w:r>
      <w:r>
        <w:t xml:space="preserve"> </w:t>
      </w:r>
      <w:r>
        <w:t xml:space="preserve">survey waves.</w:t>
      </w:r>
      <w:r>
        <w:t xml:space="preserve"> </w:t>
      </w:r>
      <w:r>
        <w:t xml:space="preserve">Design/methodology/approach — The study uses three waves of World Bank Enterprise Survey</w:t>
      </w:r>
      <w:r>
        <w:t xml:space="preserve"> </w:t>
      </w:r>
      <w:r>
        <w:t xml:space="preserve">data for Vietnam (2009, 2015 and 2023; pooled N = 2,958) and estimates wave-specific and</w:t>
      </w:r>
      <w:r>
        <w:t xml:space="preserve"> </w:t>
      </w:r>
      <w:r>
        <w:t xml:space="preserve">pooled OLS models with HC1 robust standard errors, quadratic export-intensity terms and interaction specifications. The analysis distinguishes a Technological Capability Index based on</w:t>
      </w:r>
      <w:r>
        <w:t xml:space="preserve"> </w:t>
      </w:r>
      <w:r>
        <w:t xml:space="preserve">internationally recognised quality certification and foreign-licensed technology from a foundational Digital Adoption Index based on website presence, with no shared items between the two</w:t>
      </w:r>
      <w:r>
        <w:t xml:space="preserve"> </w:t>
      </w:r>
      <w:r>
        <w:t xml:space="preserve">constructs. Supplementary checks assess the stability of the main findings.</w:t>
      </w:r>
      <w:r>
        <w:t xml:space="preserve"> </w:t>
      </w:r>
      <w:r>
        <w:t>Findings — The productivity benefits of internationalisation are concentrated primarily at the participation margin — the step from non-exporting to exporting — while within-exporter intensity yields diminishing to null marginal returns (Panel H). The full-sample inverted-U (turning points 39–46% FSTS) is identified mainly through this participation step rather than through dense curvature within the exporter subsample. Technological capability is positively associated with productivity in all three waves and in the pooled sample, and its moderating role is more stable than that of foundational digital adoption. Foundational digital adoption is positive in 2009 and 2023, null in 2015, and only shows within-sample detectable moderation in 2023.</w:t>
      </w:r>
      <w:r/>
      <w:r/>
      <w:r/>
      <w:r/>
      <w:r/>
      <w:r/>
      <w:r/>
      <w:r/>
      <w:r/>
      <w:r/>
    </w:p>
    <w:p>
      <w:pPr>
        <w:pStyle w:val="BodyText"/>
      </w:pPr>
      <w:r>
        <w:t xml:space="preserve">Originality/value — The study contributes to research on emerging markets by distinguishing</w:t>
      </w:r>
      <w:r>
        <w:t xml:space="preserve"> </w:t>
      </w:r>
      <w:r>
        <w:t xml:space="preserve">foreign-technology / standards capability from foundational digital adoption and by showing</w:t>
      </w:r>
      <w:r>
        <w:t xml:space="preserve"> </w:t>
      </w:r>
      <w:r>
        <w:t xml:space="preserve">that pooled digital effects can mask substantial temporal heterogeneity. The findings suggest</w:t>
      </w:r>
      <w:r>
        <w:t xml:space="preserve"> </w:t>
      </w:r>
      <w:r>
        <w:t xml:space="preserve">that the productivity relevance of basic digital adoption is context-sensitive and wave-specific</w:t>
      </w:r>
      <w:r>
        <w:t xml:space="preserve"> </w:t>
      </w:r>
      <w:r>
        <w:t xml:space="preserve">rather than uniformly stable across stages of internationalisation.</w:t>
      </w:r>
    </w:p>
    <w:p>
      <w:pPr>
        <w:pStyle w:val="BodyText"/>
      </w:pPr>
      <w:r>
        <w:t xml:space="preserve">Keywords: internationalisation–performance; emerging markets; digital adoption; technological capability;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0"/>
    <w:bookmarkStart w:id="21"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and digital adoption are separated as non-overlapping primary</w:t>
      </w:r>
      <w:r>
        <w:t xml:space="preserve"> </w:t>
      </w:r>
      <w:r>
        <w:t xml:space="preserve">measures: TCI_z is the within-wave standardised mean of quality certification and foreignlicensed technology, whereas DAI_z is the within-wave standardised website-based digitalpresence indicator.</w:t>
      </w:r>
    </w:p>
    <w:p>
      <w:pPr>
        <w:pStyle w:val="BodyText"/>
      </w:pPr>
      <w:r>
        <w:t xml:space="preserve"> TCI_z is positively associated with productivity in all three waves (β = 0.215, 0.128,</w:t>
      </w:r>
      <w:r>
        <w:t xml:space="preserve"> </w:t>
      </w:r>
      <w:r>
        <w:t xml:space="preserve">0.123) and pooled (β = 0.179, p &lt; .001), and moderates the curvature in three of four</w:t>
      </w:r>
      <w:r>
        <w:t xml:space="preserve"> </w:t>
      </w:r>
      <w:r>
        <w:t xml:space="preserve">panels (M3 joint p = .040, .713, .027 and .003).</w:t>
      </w:r>
    </w:p>
    <w:p>
      <w:pPr>
        <w:pStyle w:val="BodyText"/>
      </w:pPr>
      <w:r>
        <w:t xml:space="preserve"> DAI_z is strongest in 2009 (β = 0.175, p &lt; .001), null in 2015 (β = -0.044, p = .377),</w:t>
      </w:r>
      <w:r>
        <w:t xml:space="preserve"> </w:t>
      </w:r>
      <w:r>
        <w:t xml:space="preserve">positive in 2023 (β = 0.095, p = .038) and pooled (β = 0.078, p = .004); the cross-wave</w:t>
      </w:r>
      <w:r>
        <w:t xml:space="preserve"> </w:t>
      </w:r>
      <w:r>
        <w:t xml:space="preserve">shifts are statistically distinguishable (Paternoster z = 3.353 between 2009 and 2015; z =</w:t>
      </w:r>
      <w:r>
        <w:t xml:space="preserve"> </w:t>
      </w:r>
      <w:r>
        <w:t xml:space="preserve">-2.051 between 2015 and 2023).</w:t>
      </w:r>
    </w:p>
    <w:p>
      <w:pPr>
        <w:pStyle w:val="BodyText"/>
      </w:pPr>
      <w:r>
        <w:t xml:space="preserve"> DAI moderation is concentrated in 2023, where FSTS_c × DAI_z = -0.912 (p = .043)</w:t>
      </w:r>
      <w:r>
        <w:t xml:space="preserve"> </w:t>
      </w:r>
      <w:r>
        <w:t xml:space="preserve">and the M8 joint test is marginal (p = .062); the pooled M8 joint test is also marginal (p</w:t>
      </w:r>
      <w:r>
        <w:t xml:space="preserve"> </w:t>
      </w:r>
      <w:r>
        <w:t xml:space="preserve">= .083), driven by 2023 rather than by a stable cross-period moderation.</w:t>
      </w:r>
    </w:p>
    <w:bookmarkEnd w:id="21"/>
    <w:bookmarkStart w:id="26" w:name="introduction"/>
    <w:p>
      <w:pPr>
        <w:pStyle w:val="Heading2"/>
      </w:pPr>
      <w:r>
        <w:t xml:space="preserve">1. Introduction</w:t>
      </w:r>
    </w:p>
    <w:bookmarkStart w:id="22" w:name="background-and-motivation"/>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w:t>
      </w:r>
    </w:p>
    <w:p>
      <w:pPr>
        <w:pStyle w:val="BodyText"/>
      </w:pPr>
      <w:r>
        <w:t xml:space="preserve">internationalisation should not be assumed to generate a simple linear performance premium.</w:t>
      </w:r>
      <w:r>
        <w:t xml:space="preserve"> </w:t>
      </w:r>
      <w:r>
        <w:t xml:space="preserve">Firms may gain access to larger markets, benefit from learning, and diversify revenue streams,</w:t>
      </w:r>
      <w:r>
        <w:t xml:space="preserve"> </w:t>
      </w:r>
      <w:r>
        <w:t xml:space="preserve">but they may also face rising coordination costs, information-processing burdens, and organisational strain as their foreign involvement deepens (Wright et al., 2005; Cuervo-Cazurra and</w:t>
      </w:r>
      <w:r>
        <w:t xml:space="preserve"> </w:t>
      </w:r>
      <w:r>
        <w:t xml:space="preserve">Genc, 2008; Wu et al., 2016).</w:t>
      </w:r>
      <w:r>
        <w:t xml:space="preserve"> </w:t>
      </w:r>
      <w:r>
        <w:t xml:space="preserve">This tension lies at the heart of the I–P literature. A long tradition of research has argued</w:t>
      </w:r>
      <w:r>
        <w:t xml:space="preserve"> </w:t>
      </w:r>
      <w:r>
        <w:t xml:space="preserve">that internationalisation can improve performance at lower and intermediate levels through scale,</w:t>
      </w:r>
      <w:r>
        <w:t xml:space="preserve"> </w:t>
      </w:r>
      <w:r>
        <w:t xml:space="preserve">learning, and diversification, while also generating diminishing or negative returns at higher levels</w:t>
      </w:r>
      <w:r>
        <w:t xml:space="preserve"> </w:t>
      </w:r>
      <w:r>
        <w:t xml:space="preserve">because of complexity and coordination burdens. Meta-analytic evidence strongly supports the</w:t>
      </w:r>
      <w:r>
        <w:t xml:space="preserve"> </w:t>
      </w:r>
      <w:r>
        <w:t xml:space="preserve">view that nonlinearity is a central feature of this relationship rather than an empirical anomaly</w:t>
      </w:r>
      <w:r>
        <w:t xml:space="preserve"> </w:t>
      </w:r>
      <w:r>
        <w:t xml:space="preserve">(Vernon, 1979; Lu and Beamish, 2004; Hennart, 2007; Coviello et al., 2017; Marano et al., 2016).</w:t>
      </w:r>
      <w:r>
        <w:t xml:space="preserve"> </w:t>
      </w:r>
      <w:r>
        <w:t xml:space="preserve">Digitalisation adds a further layer of complexity to this debate.</w:t>
      </w:r>
    </w:p>
    <w:p>
      <w:pPr>
        <w:pStyle w:val="BodyText"/>
      </w:pPr>
      <w:r>
        <w:t xml:space="preserve">Digital tools can reduce</w:t>
      </w:r>
    </w:p>
    <w:p>
      <w:pPr>
        <w:pStyle w:val="BodyText"/>
      </w:pPr>
      <w:r>
        <w:t xml:space="preserve">communication frictions, accelerate transactions, and support coordination across borders. Yet</w:t>
      </w:r>
      <w:r>
        <w:t xml:space="preserve"> </w:t>
      </w:r>
      <w:r>
        <w:t xml:space="preserve">those benefits do not arise automatically. Their realised value depends on whether firms possess</w:t>
      </w:r>
      <w:r>
        <w:t xml:space="preserve"> </w:t>
      </w:r>
      <w:r>
        <w:t xml:space="preserve">the organisational depth, absorptive capacity, and complementary routines needed to translate</w:t>
      </w:r>
      <w:r>
        <w:t xml:space="preserve"> </w:t>
      </w:r>
      <w:r>
        <w:t xml:space="preserve">digital adoption into productivity gains (Cohen and Levinthal, 1990; Vial, 2019; Verhoef et al.,</w:t>
      </w:r>
      <w:r>
        <w:t xml:space="preserve"> </w:t>
      </w:r>
      <w:r>
        <w:t xml:space="preserve">2021; Stallkamp and Schotter, 2021; Petricevic and Teece, 2019). For this reason, digital capability should not be treated as a universally beneficial resource whose payoff is constant across</w:t>
      </w:r>
      <w:r>
        <w:t xml:space="preserve"> </w:t>
      </w:r>
      <w:r>
        <w:t xml:space="preserve">firms and over time.</w:t>
      </w:r>
      <w:r>
        <w:t xml:space="preserve"> </w:t>
      </w:r>
      <w:r>
        <w:t xml:space="preserve">The Vietnamese setting makes this issue especially important. Because firms are embedded</w:t>
      </w:r>
      <w:r>
        <w:t xml:space="preserve"> </w:t>
      </w:r>
      <w:r>
        <w:t xml:space="preserve">in an economy undergoing capability upgrading and digital transition, both the benefits of</w:t>
      </w:r>
      <w:r>
        <w:t xml:space="preserve"> </w:t>
      </w:r>
      <w:r>
        <w:t xml:space="preserve">internationalisation and the payoff from digitalisation may vary across stages of development.</w:t>
      </w:r>
      <w:r>
        <w:t xml:space="preserve"> </w:t>
      </w:r>
      <w:r>
        <w:t xml:space="preserve">This raises a central question for the present study: does digital capability in Vietnam function</w:t>
      </w:r>
      <w:r>
        <w:t xml:space="preserve"> </w:t>
      </w:r>
      <w:r>
        <w:t xml:space="preserve">as a stable performance-enhancing asset, or does it operate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composition of the exporter cohort itself evolves across</w:t>
      </w:r>
      <w:r>
        <w:t xml:space="preserve"> </w:t>
      </w:r>
      <w:r>
        <w:t xml:space="preserve">the three waves: the share of firms reporting any positive direct-export intensity declines as</w:t>
      </w:r>
      <w:r>
        <w:t xml:space="preserve"> </w:t>
      </w:r>
      <w:r>
        <w:t xml:space="preserve">services and FDI-linked supply-chain firms enter the sample, while the average level of foundational digital adoption rises with the diffusion of websites, electronic payment systems, and</w:t>
      </w:r>
      <w:r>
        <w:t xml:space="preserve"> </w:t>
      </w:r>
      <w:r>
        <w:t xml:space="preserve">digital transaction interfaces. Reading the I–P relationship and the digital-adoption channel as</w:t>
      </w:r>
      <w:r>
        <w:t xml:space="preserve"> </w:t>
      </w:r>
      <w:r>
        <w:t xml:space="preserve">fixed structural facts across this fourteen-year window misses the fact that the underlying firm</w:t>
      </w:r>
      <w:r>
        <w:t xml:space="preserve"> </w:t>
      </w:r>
      <w:r>
        <w:t xml:space="preserve">population, the binding coordination costs, and the institutional scaffolding for cross-border</w:t>
      </w:r>
      <w:r>
        <w:t xml:space="preserve"> </w:t>
      </w:r>
      <w:r>
        <w:t xml:space="preserve">trade all change materially.</w:t>
      </w:r>
    </w:p>
    <w:bookmarkEnd w:id="22"/>
    <w:bookmarkStart w:id="23" w:name="research-gap"/>
    <w:p>
      <w:pPr>
        <w:pStyle w:val="Heading3"/>
      </w:pPr>
      <w:r>
        <w:t xml:space="preserve">1.2 Research gap</w:t>
      </w:r>
    </w:p>
    <w:p>
      <w:pPr>
        <w:pStyle w:val="FirstParagraph"/>
      </w:pPr>
      <w:r>
        <w:t xml:space="preserve">Three gaps motivate this study.</w:t>
      </w:r>
    </w:p>
    <w:p>
      <w:pPr>
        <w:pStyle w:val="BodyText"/>
      </w:pPr>
      <w:r>
        <w:t xml:space="preserve">First, existing work often treats digitalisation as a broadly</w:t>
      </w:r>
    </w:p>
    <w:p>
      <w:pPr>
        <w:pStyle w:val="BodyText"/>
      </w:pPr>
      <w:r>
        <w:t xml:space="preserve">positive resource without paying sufficient attention to temporal and contextual variation in its</w:t>
      </w:r>
      <w:r>
        <w:t xml:space="preserve"> </w:t>
      </w:r>
      <w:r>
        <w:t xml:space="preserve">payoff. Such a treatment risks implying that digital adoption produces a relatively stable performance premium across firms and across stages of economic transition (Strange and Zucchella,</w:t>
      </w:r>
      <w:r>
        <w:t xml:space="preserve"> </w:t>
      </w:r>
      <w:r>
        <w:t xml:space="preserve">2017; Goldfarb and Tucker, 2019). In reality, digitalisation may generate uneven returns because</w:t>
      </w:r>
      <w:r>
        <w:t xml:space="preserve"> </w:t>
      </w:r>
      <w:r>
        <w:t xml:space="preserve">firms differ in scale, routines, and complementary capability.</w:t>
      </w:r>
      <w:r>
        <w:t xml:space="preserve"> </w:t>
      </w:r>
      <w:r>
        <w:t xml:space="preserve">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w:t>
      </w:r>
      <w:r>
        <w:t xml:space="preserve"> </w:t>
      </w:r>
      <w:r>
        <w:t xml:space="preserve">or transaction mechanisms (Bharadwaj et al., 2013; Verhoef et al., 2021; Hanelt et al., 2021;</w:t>
      </w:r>
      <w:r>
        <w:t xml:space="preserve"> </w:t>
      </w:r>
      <w:r>
        <w:t xml:space="preserve">Brouthers et al., 2016). Although these constructs are related, they should not be treated as</w:t>
      </w:r>
      <w:r>
        <w:t xml:space="preserve"> </w:t>
      </w:r>
      <w:r>
        <w:t xml:space="preserve">interchangeable. Collapsing them into a single umbrella variable can reduce construct clarity</w:t>
      </w:r>
      <w:r>
        <w:t xml:space="preserve"> </w:t>
      </w:r>
      <w:r>
        <w:t xml:space="preserve">and blur the mechanisms linking digitalisation to performance.</w:t>
      </w:r>
      <w:r>
        <w:t xml:space="preserve"> </w:t>
      </w:r>
      <w:r>
        <w:t xml:space="preserve">Third, pooled estimates may obscure substantial lifecycle heterogeneity. In a setting such</w:t>
      </w:r>
      <w:r>
        <w:t xml:space="preserve"> </w:t>
      </w:r>
      <w:r>
        <w:t xml:space="preserve">as Vietnam, where firms and institutions pass through distinct stages of transition, the role of</w:t>
      </w:r>
      <w:r>
        <w:t xml:space="preserve"> </w:t>
      </w:r>
      <w:r>
        <w:t xml:space="preserve">internationalisation, technological capability, and digital adoption may vary considerably across</w:t>
      </w:r>
      <w:r>
        <w:t xml:space="preserve"> </w:t>
      </w:r>
      <w:r>
        <w:t xml:space="preserve">survey waves. A pooled model is useful for identifying average effects, but it is insufficient if</w:t>
      </w:r>
      <w:r>
        <w:t xml:space="preserve"> </w:t>
      </w:r>
      <w:r>
        <w:t xml:space="preserve">the underlying relationships shift across time. A design that combines pooled and wave-specific</w:t>
      </w:r>
      <w:r>
        <w:t xml:space="preserve"> </w:t>
      </w:r>
      <w:r>
        <w:t xml:space="preserve">analysis is therefore necessary to determine whether the observed effects are stable or stage</w:t>
      </w:r>
      <w:r>
        <w:t xml:space="preserve"> </w:t>
      </w:r>
      <w:r>
        <w:t xml:space="preserve">contingent.</w:t>
      </w:r>
    </w:p>
    <w:bookmarkEnd w:id="23"/>
    <w:bookmarkStart w:id="24" w:name="contribution"/>
    <w:p>
      <w:pPr>
        <w:pStyle w:val="Heading3"/>
      </w:pPr>
      <w:r>
        <w:t xml:space="preserve">1.3 Contribution</w:t>
      </w:r>
    </w:p>
    <w:p>
      <w:pPr>
        <w:pStyle w:val="FirstParagraph"/>
      </w:pPr>
      <w:r>
        <w:t xml:space="preserve">This study makes three contributions to the literature.</w:t>
      </w:r>
    </w:p>
    <w:p>
      <w:pPr>
        <w:pStyle w:val="BodyText"/>
      </w:pPr>
      <w:r>
        <w:t xml:space="preserve">First, it refines the I–P debate by</w:t>
      </w:r>
    </w:p>
    <w:p>
      <w:pPr>
        <w:pStyle w:val="BodyText"/>
      </w:pPr>
      <w:r>
        <w:t xml:space="preserve">showing that the Vietnamese evidence supports a nonlinear relationship, but that the salience</w:t>
      </w:r>
      <w:r>
        <w:t xml:space="preserve"> </w:t>
      </w:r>
      <w:r>
        <w:t xml:space="preserve">and visibility of that relationship vary across time. Rather than treating nonlinearity as a fixed</w:t>
      </w:r>
      <w:r>
        <w:t xml:space="preserve"> </w:t>
      </w:r>
      <w:r>
        <w:t xml:space="preserve">structural fact that appears identically in every period, the analysis shows that the I–P curve</w:t>
      </w:r>
      <w:r>
        <w:t xml:space="preserve"> </w:t>
      </w:r>
      <w:r>
        <w:t xml:space="preserve">must be read in conjunction with the broader capability environment.</w:t>
      </w:r>
      <w:r>
        <w:t xml:space="preserve"> </w:t>
      </w:r>
      <w:r>
        <w:t xml:space="preserve">Second, the study improves construct validity by separating technological capability from</w:t>
      </w:r>
      <w:r>
        <w:t xml:space="preserve"> </w:t>
      </w:r>
      <w:r>
        <w:t xml:space="preserve">foundational digital adoption. This distinction matters theoretically because deeper capability</w:t>
      </w:r>
      <w:r>
        <w:t xml:space="preserve"> </w:t>
      </w:r>
      <w:r>
        <w:t xml:space="preserve">stocks and basic digital enablement may generate performance through different channels.</w:t>
      </w:r>
    </w:p>
    <w:p>
      <w:pPr>
        <w:pStyle w:val="BodyText"/>
      </w:pPr>
      <w:r>
        <w:t xml:space="preserve">It</w:t>
      </w:r>
    </w:p>
    <w:p>
      <w:pPr>
        <w:pStyle w:val="BodyText"/>
      </w:pPr>
      <w:r>
        <w:t xml:space="preserve">also matters empirically because the two constructs do not exhibit identical patterns across the</w:t>
      </w:r>
      <w:r>
        <w:t xml:space="preserve"> </w:t>
      </w:r>
      <w:r>
        <w:t xml:space="preserve">Vietnamese waves.</w:t>
      </w:r>
      <w:r>
        <w:t xml:space="preserve"> </w:t>
      </w:r>
      <w:r>
        <w:t xml:space="preserve">Third, the study introduces a lifecycle interpretation of digital internationalisation.</w:t>
      </w:r>
    </w:p>
    <w:p>
      <w:pPr>
        <w:pStyle w:val="BodyText"/>
      </w:pPr>
      <w:r>
        <w:t xml:space="preserve">The</w:t>
      </w:r>
    </w:p>
    <w:p>
      <w:pPr>
        <w:pStyle w:val="BodyText"/>
      </w:pPr>
      <w:r>
        <w:t xml:space="preserve">evidence suggests that digital capability is neither a universally stable premium nor a uniformly</w:t>
      </w:r>
      <w:r>
        <w:t xml:space="preserve"> </w:t>
      </w:r>
      <w:r>
        <w:t xml:space="preserve">ineffective resource. Instead, it is an uneven and stage-dependent source of performance heterogeneity. This perspective helps explain why pooled average effects may coexist with substantial</w:t>
      </w:r>
      <w:r>
        <w:t xml:space="preserve"> </w:t>
      </w:r>
      <w:r>
        <w:t xml:space="preserve">wave-specific differences.</w:t>
      </w:r>
    </w:p>
    <w:p>
      <w:pPr>
        <w:pStyle w:val="BodyText"/>
      </w:pPr>
      <w:r>
        <w:t xml:space="preserve">A fourth contribution is contextual: Vietnam's empirical pattern provides a participation-and-intensity decomposition showing that the robustly identified inverted-U (turning point 39–46 % FSTS) is driven primarily by the participation margin: within the exporter subsample, intensity variation yields flat to diminishing returns (Panel H), qualifying the conventional reading of the inverted-U pattern. The divergence between this pattern and those documented in digitally advanced economies, where the coordination-cost mechanism is attenuated by comprehensive digital infrastructure, points toward institution-level mechanisms as candidate moderators of I–P curve location. This within-context evidence anchors the digitally transitional end of the institutional spectrum.</w:t>
      </w:r>
    </w:p>
    <w:bookmarkEnd w:id="24"/>
    <w:bookmarkStart w:id="25" w:name="roadmap"/>
    <w:p>
      <w:pPr>
        <w:pStyle w:val="Heading3"/>
      </w:pPr>
      <w:r>
        <w:t xml:space="preserve">1.4 Roadmap</w:t>
      </w:r>
    </w:p>
    <w:p>
      <w:pPr>
        <w:pStyle w:val="FirstParagraph"/>
      </w:pPr>
      <w:r>
        <w:t xml:space="preserve">The remainder of the paper is organised as follows. Section 2 develops the theoretical framework</w:t>
      </w:r>
      <w:r>
        <w:t xml:space="preserve"> </w:t>
      </w:r>
      <w:r>
        <w:t xml:space="preserve">and hypotheses.</w:t>
      </w:r>
    </w:p>
    <w:p>
      <w:pPr>
        <w:pStyle w:val="BodyText"/>
      </w:pPr>
      <w:r>
        <w:t xml:space="preserve">Section 3 describes the data, variables, and empirical strategy.</w:t>
      </w:r>
    </w:p>
    <w:p>
      <w:pPr>
        <w:pStyle w:val="BodyText"/>
      </w:pPr>
      <w:r>
        <w:t xml:space="preserve">Section 4</w:t>
      </w:r>
    </w:p>
    <w:p>
      <w:pPr>
        <w:pStyle w:val="BodyText"/>
      </w:pPr>
      <w:r>
        <w:t xml:space="preserve">presents the results. Section 5 discusses the theoretical and managerial implications. Section 6</w:t>
      </w:r>
      <w:r>
        <w:t xml:space="preserve"> </w:t>
      </w:r>
      <w:r>
        <w:t xml:space="preserve">concludes.</w:t>
      </w:r>
    </w:p>
    <w:bookmarkEnd w:id="25"/>
    <w:bookmarkEnd w:id="26"/>
    <w:bookmarkStart w:id="31" w:name="theory-and-hypotheses"/>
    <w:p>
      <w:pPr>
        <w:pStyle w:val="Heading2"/>
      </w:pPr>
      <w:r>
        <w:t xml:space="preserve">2. Theory and hypotheses</w:t>
      </w:r>
    </w:p>
    <w:bookmarkStart w:id="27" w:name="X3b7d35b763b13aa013dc5c38abee688672fbd10"/>
    <w:p>
      <w:pPr>
        <w:pStyle w:val="Heading3"/>
      </w:pPr>
      <w:r>
        <w:t xml:space="preserve">2.1 Internationalisation and firm performance</w:t>
      </w:r>
    </w:p>
    <w:p>
      <w:pPr>
        <w:pStyle w:val="FirstParagraph"/>
      </w:pPr>
      <w:r>
        <w:t xml:space="preserve">The relationship between internationalisation and firm performance is unlikely to be linear in</w:t>
      </w:r>
      <w:r>
        <w:t xml:space="preserve"> </w:t>
      </w:r>
      <w:r>
        <w:t xml:space="preserve">a transitional economy such as Vietnam. Foreign expansion can improve performance through</w:t>
      </w:r>
      <w:r>
        <w:t xml:space="preserve"> </w:t>
      </w:r>
      <w:r>
        <w:t xml:space="preserve">greater market reach, diversification, and learning from external environments. Firms may use</w:t>
      </w:r>
      <w:r>
        <w:t xml:space="preserve"> </w:t>
      </w:r>
      <w:r>
        <w:t xml:space="preserve">internationalisation to spread fixed costs, access new customers, and acquire knowledge that</w:t>
      </w:r>
      <w:r>
        <w:t xml:space="preserve"> </w:t>
      </w:r>
      <w:r>
        <w:t xml:space="preserve">supports operational improvement.</w:t>
      </w:r>
      <w:r>
        <w:t xml:space="preserve"> </w:t>
      </w:r>
      <w:r>
        <w:t xml:space="preserve">At the same time, deeper international involvement often generates coordination costs and</w:t>
      </w:r>
      <w:r>
        <w:t xml:space="preserve"> </w:t>
      </w:r>
      <w:r>
        <w:t xml:space="preserve">organisational burdens. Firms must manage multiple markets, reconcile diverse customer demands, process more information, and sustain greater managerial control. As foreign expansion</w:t>
      </w:r>
      <w:r>
        <w:t xml:space="preserve"> </w:t>
      </w:r>
      <w:r>
        <w:t xml:space="preserve">intensifies, these costs may grow faster than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is especially plausible in Vietnam because firms operate under uneven capability conditions. Some firms may convert foreign expansion into learning and scale advantages,</w:t>
      </w:r>
      <w:r>
        <w:t xml:space="preserve"> </w:t>
      </w:r>
      <w:r>
        <w:t xml:space="preserve">whereas others may encounter organisational strain sooner. The relevant expectation is therefore</w:t>
      </w:r>
      <w:r>
        <w:t xml:space="preserve"> </w:t>
      </w:r>
      <w:r>
        <w:t xml:space="preserve">not a uniformly positive slope, but a nonlinear relationship in which gains from internationalisation become progressively more difficult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The internationalisation–performance relationship in Vietnam is non-monotonic</w:t>
      </w:r>
      <w:r>
        <w:t xml:space="preserve"> </w:t>
      </w:r>
      <w:r>
        <w:t xml:space="preserve">in the full sample and is best understood through a participation-and-intensity structure in a zero-inflated export setting. (H1a, participation margin) Crossing from</w:t>
      </w:r>
      <w:r>
        <w:t xml:space="preserve"> </w:t>
      </w:r>
      <w:r>
        <w:t xml:space="preserve">non-exporting (FSTS = 0) to exporting (FSTS &gt; 0) is positively associated with</w:t>
      </w:r>
      <w:r>
        <w:t xml:space="preserve"> </w:t>
      </w:r>
      <w:r>
        <w:t xml:space="preserve">labour productivity, capturing the learning-and-scale jump at entry. (H1b, intensity</w:t>
      </w:r>
      <w:r>
        <w:t xml:space="preserve"> </w:t>
      </w:r>
      <w:r>
        <w:t xml:space="preserve">margin) Within the exporter subsample, additional direct-export intensity is expected</w:t>
      </w:r>
      <w:r>
        <w:t xml:space="preserve"> </w:t>
      </w:r>
      <w:r>
        <w:t xml:space="preserve">to exhibit weaker, diminishing, or non-significant marginal returns relative to the</w:t>
      </w:r>
      <w:r>
        <w:t xml:space="preserve"> </w:t>
      </w:r>
      <w:r>
        <w:t xml:space="preserve">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27"/>
    <w:bookmarkStart w:id="28" w:name="X8b6ab3bfb99752d9beaf4133c4607c74858df36"/>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Foreign-technology / standards capability (TCI_z) is positively associated with</w:t>
      </w:r>
      <w:r>
        <w:t xml:space="preserve"> </w:t>
      </w:r>
      <w:r>
        <w:t xml:space="preserve">firm performance in Vietnam.</w:t>
      </w:r>
    </w:p>
    <w:bookmarkEnd w:id="28"/>
    <w:bookmarkStart w:id="29" w:name="Xc172df63165a200a03f115512b27dddb3cfd513"/>
    <w:p>
      <w:pPr>
        <w:pStyle w:val="Heading3"/>
      </w:pPr>
      <w:r>
        <w:t xml:space="preserve">2.3 Website-based digital presence and firm performance</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 a website does not by itself integrate transactions,</w:t>
      </w:r>
      <w:r>
        <w:t xml:space="preserve"> </w:t>
      </w:r>
      <w:r>
        <w:t xml:space="preserve">supply chains, or decision-making —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 digital presence (websites, e-mail); Tier 2 — digital communication and basic e-commerce;</w:t>
      </w:r>
      <w:r>
        <w:t xml:space="preserve"> </w:t>
      </w:r>
      <w:r>
        <w:t xml:space="preserve">Tier 3 — digital process integration (electronic payment, supply-chain digitisation); Tier 4 —</w:t>
      </w:r>
      <w:r>
        <w:t xml:space="preserve"> </w:t>
      </w:r>
      <w:r>
        <w:t xml:space="preserve">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 functioning as a conditional scaling complement rather than a coordination-strain amplifier — because the surrounding ecosystem can absorb cross-border transaction processing that a website alone cannot.</w:t>
      </w:r>
    </w:p>
    <w:p>
      <w:pPr>
        <w:pStyle w:val="BodyText"/>
      </w:pPr>
      <w:r>
        <w:t xml:space="preserve">H3. Website-based digital presence (DAI_z) is positively associated with firm performance in Vietnam on average.</w:t>
      </w:r>
    </w:p>
    <w:bookmarkEnd w:id="29"/>
    <w:bookmarkStart w:id="30" w:name="stage-contingent-digital-value"/>
    <w:p>
      <w:pPr>
        <w:pStyle w:val="Heading3"/>
      </w:pPr>
      <w:r>
        <w:t xml:space="preserve">2.4 Stage-contingent digital value</w:t>
      </w:r>
    </w:p>
    <w:p>
      <w:pPr>
        <w:pStyle w:val="FirstParagraph"/>
      </w:pPr>
      <w:r>
        <w:t xml:space="preserve">The core theoretical claim of this study is that foundational digital adoption is stage contingent.</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t xml:space="preserve">H4 (exploratory). The productivity relevance of foundational digital adoption (DAI_z)</w:t>
      </w:r>
      <w:r>
        <w:t xml:space="preserve"> </w:t>
      </w:r>
      <w:r>
        <w:t xml:space="preserve">varies across phases of internationalisation and institutional transition. Any moderation of the export-intensity curve by foundational digital adoption is therefore</w:t>
      </w:r>
      <w:r>
        <w:t xml:space="preserve"> </w:t>
      </w:r>
      <w:r>
        <w:t xml:space="preserve">expected to be wave-specific rather than uniformly present across periods, with the</w:t>
      </w:r>
      <w:r>
        <w:t xml:space="preserve"> </w:t>
      </w:r>
      <w:r>
        <w:t xml:space="preserve">strongest within-sample detectability anticipated in 2023.</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FSTS_c2 )</w:t>
      </w:r>
      <w:r>
        <w:t xml:space="preserve"> </w:t>
      </w:r>
      <w:r>
        <w:t xml:space="preserve">(ln labour productivity)</w:t>
      </w:r>
      <w:r>
        <w:t xml:space="preserve"> </w:t>
      </w:r>
      <w:r>
        <w:t xml:space="preserve">H4 (mod., exploratory)</w:t>
      </w:r>
      <w:r>
        <w:t xml:space="preserve"> </w:t>
      </w:r>
      <w:r>
        <w:t xml:space="preserve">H3</w:t>
      </w:r>
    </w:p>
    <w:p>
      <w:pPr>
        <w:pStyle w:val="BodyText"/>
      </w:pPr>
      <w:r>
        <w:t xml:space="preserve">Foundational</w:t>
      </w:r>
      <w:r>
        <w:t xml:space="preserve"> </w:t>
      </w:r>
      <w:r>
        <w:t xml:space="preserve">Digital Adoption (DAI_z)</w:t>
      </w:r>
    </w:p>
    <w:p>
      <w:pPr>
        <w:pStyle w:val="BodyText"/>
      </w:pPr>
      <w:r>
        <w:t xml:space="preserve">Controls: lnEmp, FirmAge, ForeignOwned, sector FE [+ wave FE]</w:t>
      </w:r>
    </w:p>
    <w:p>
      <w:pPr>
        <w:pStyle w:val="BodyText"/>
      </w:pPr>
      <w:r>
        <w:t xml:space="preserve">Figure 1: Conceptual model. The independent variable (internationalisation, FSTS_c and FSTS_c2 )</w:t>
      </w:r>
    </w:p>
    <w:p>
      <w:pPr>
        <w:pStyle w:val="BodyText"/>
      </w:pPr>
      <w:r>
        <w:t xml:space="preserve">and the dependent variable (firm performance, ln labour productivity) anchor the IV–DV spine. Technological capability (TCI_z) and foundational digital adoption (DAI_z) act as direct effects (H2, H3) and</w:t>
      </w:r>
      <w:r>
        <w:t xml:space="preserve"> </w:t>
      </w:r>
      <w:r>
        <w:t xml:space="preserve">as moderators of the FSTS curve (H2 moderation, H4 exploratory moderation). Controls are entered</w:t>
      </w:r>
      <w:r>
        <w:t xml:space="preserve"> </w:t>
      </w:r>
      <w:r>
        <w:t xml:space="preserve">additively. Wave fixed effects apply to the pooled specification only.</w:t>
      </w:r>
    </w:p>
    <w:bookmarkEnd w:id="30"/>
    <w:bookmarkEnd w:id="31"/>
    <w:bookmarkStart w:id="36" w:name="data-variables-and-empirical-strategy"/>
    <w:p>
      <w:pPr>
        <w:pStyle w:val="Heading2"/>
      </w:pPr>
      <w:r>
        <w:t xml:space="preserve">3. Data, variables, and empirical strategy</w:t>
      </w:r>
    </w:p>
    <w:bookmarkStart w:id="32" w:name="data-structure"/>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2"/>
    <w:bookmarkStart w:id="33" w:name="variables"/>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w:t>
      </w:r>
    </w:p>
    <w:p>
      <w:pPr>
        <w:pStyle w:val="BodyText"/>
      </w:pPr>
      <w:r>
        <w:t xml:space="preserve">(FSTS_c ) so that linear and quadratic terms can be entered jointly to test for nonlinearity.</w:t>
      </w:r>
      <w:r>
        <w:t xml:space="preserve"> </w:t>
      </w:r>
      <w:r>
        <w:t xml:space="preserve">The analysis uses two distinct capability constructs.</w:t>
      </w:r>
    </w:p>
    <w:p>
      <w:pPr>
        <w:pStyle w:val="BodyText"/>
      </w:pPr>
      <w:r>
        <w:t xml:space="preserve">The Technological Capability Index</w:t>
      </w:r>
    </w:p>
    <w:p>
      <w:pPr>
        <w:pStyle w:val="BodyText"/>
      </w:pPr>
      <w:r>
        <w:t xml:space="preserve">(TCI_z) is interpreted narrowly as a foreign-technology and standards capability measure —</w:t>
      </w:r>
      <w:r>
        <w:t xml:space="preserve"> </w:t>
      </w:r>
      <w:r>
        <w:t xml:space="preserve">international quality certification and foreign-licensed technology —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 foundational website adoption —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w:t>
      </w:r>
      <w:r>
        <w:t xml:space="preserve"> </w:t>
      </w:r>
      <w:r>
        <w:t xml:space="preserve">annual sales and l1 is permanent full-time employees. Internationalisation is FSTS = d3c / 100,</w:t>
      </w:r>
    </w:p>
    <w:p>
      <w:pPr>
        <w:pStyle w:val="BodyText"/>
      </w:pPr>
      <w:r>
        <w:t xml:space="preserve">mean-centred within wave (FSTS_c) and squared (FSTS_c ).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w:t>
      </w:r>
    </w:p>
    <w:p>
      <w:pPr>
        <w:pStyle w:val="BodyText"/>
      </w:pPr>
      <w:r>
        <w:t xml:space="preserve">website-presence indicator c22b, recoded from 1/2 to 1/0. Under this revised primary specification, no item is shared between the TCI and DAI composites —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r>
        <w:t xml:space="preserve"> </w:t>
      </w:r>
      <w:r>
        <w:t xml:space="preserve">Controls are standard. Firm size lnEmp = ln(l1). Firm age FirmAge = survey year minus</w:t>
      </w:r>
      <w:r>
        <w:t xml:space="preserve"> </w:t>
      </w:r>
      <w:r>
        <w:t xml:space="preserve">b5 (year established). Foreign ownership ForeignOwned = 1 if b2b (percentage of equity owned</w:t>
      </w:r>
      <w:r>
        <w:t xml:space="preserve"> </w:t>
      </w:r>
      <w:r>
        <w:t xml:space="preserve">by private foreign individuals or firms) &gt; 0. Sector fixed effects use the first digit of a4b (broad</w:t>
      </w:r>
      <w:r>
        <w:t xml:space="preserve"> </w:t>
      </w:r>
      <w:r>
        <w:t xml:space="preserve">ISIC code) for the 2009 and 2015 waves and the first digit of a4a for the 2023 wave, where a4b</w:t>
      </w:r>
      <w:r>
        <w:t xml:space="preserve"> </w:t>
      </w:r>
      <w:r>
        <w:t xml:space="preserve">is not in the public release. Pooled specifications add wave fixed effects to absorb broad period</w:t>
      </w:r>
      <w:r>
        <w:t xml:space="preserve"> </w:t>
      </w:r>
      <w:r>
        <w:t xml:space="preserve">differences in the productivity baseline.</w:t>
      </w:r>
      <w:r>
        <w:t xml:space="preserve"> </w:t>
      </w:r>
      <w:r>
        <w:t xml:space="preserve">A note on missing-code handling.</w:t>
      </w:r>
    </w:p>
    <w:p>
      <w:pPr>
        <w:pStyle w:val="BodyText"/>
      </w:pPr>
      <w:r>
        <w:t xml:space="preserve">The WBES instrument codes don’t-know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TCI_thin, DAI_thin,</w:t>
      </w:r>
      <w:r>
        <w:t xml:space="preserve"> </w:t>
      </w:r>
      <w:r>
        <w:t xml:space="preserve">sector1). The resulting analytic samples are 989, 956, and 1,013 observations for 2009, 2015,</w:t>
      </w:r>
      <w:r>
        <w:t xml:space="preserve"> </w:t>
      </w:r>
      <w:r>
        <w:t xml:space="preserve">and 2023 respectively; pooled N is 2,958.</w:t>
      </w:r>
    </w:p>
    <w:bookmarkEnd w:id="33"/>
    <w:bookmarkStart w:id="34" w:name="model-sequence"/>
    <w:p>
      <w:pPr>
        <w:pStyle w:val="Heading3"/>
      </w:pPr>
      <w:r>
        <w:t xml:space="preserve">3.3 Model sequence</w:t>
      </w:r>
    </w:p>
    <w:p>
      <w:pPr>
        <w:pStyle w:val="FirstParagraph"/>
      </w:pPr>
      <w:r>
        <w:t xml:space="preserve">The empirical strategy follows a nested sequence of models, all estimated by ordinary least</w:t>
      </w:r>
      <w:r>
        <w:t xml:space="preserve"> </w:t>
      </w:r>
      <w:r>
        <w:t xml:space="preserve">squares with HC1 robust standard errors. A control model establishes the baseline. A linear</w:t>
      </w:r>
      <w:r>
        <w:t xml:space="preserve"> </w:t>
      </w:r>
      <w:r>
        <w:t xml:space="preserve">internationalisation model then introduces FSTS_c. A nonlinear model adds the quadratic term</w:t>
      </w:r>
      <w:r>
        <w:t xml:space="preserve"> </w:t>
      </w:r>
      <w:r>
        <w:t xml:space="preserve">FSTS_c</w:t>
      </w:r>
    </w:p>
    <w:p>
      <w:pPr>
        <w:pStyle w:val="BodyText"/>
      </w:pPr>
      <w:r>
        <w:t xml:space="preserve">2 to test for curvature. Additional models introduce TCI_z and DAI_z separately, first</w:t>
      </w:r>
    </w:p>
    <w:p>
      <w:pPr>
        <w:pStyle w:val="BodyText"/>
      </w:pPr>
      <w:r>
        <w:t xml:space="preserve">in specifications that allow interaction terms with FSTS_c and FSTS_c , and then in directeffect specifications. The final full model includes the nonlinear internationalisation terms, both</w:t>
      </w:r>
      <w:r>
        <w:t xml:space="preserve"> </w:t>
      </w:r>
      <w:r>
        <w:t xml:space="preserve">direct capability measures, and the interaction terms involving digital adoption.</w:t>
      </w:r>
      <w:r>
        <w:t xml:space="preserve"> </w:t>
      </w:r>
      <w:r>
        <w:t xml:space="preserve">This design separates three analytical questions.</w:t>
      </w:r>
    </w:p>
    <w:p>
      <w:pPr>
        <w:pStyle w:val="BodyText"/>
      </w:pPr>
      <w:r>
        <w:t xml:space="preserve">First, is the I–P relationship nonlinear?</w:t>
      </w:r>
    </w:p>
    <w:p>
      <w:pPr>
        <w:pStyle w:val="BodyText"/>
      </w:pPr>
      <w:r>
        <w:t xml:space="preserve">Second, are TCI_z and DAI_z directly associated with performance? Third, does the role of</w:t>
      </w:r>
      <w:r>
        <w:t xml:space="preserve"> </w:t>
      </w:r>
      <w:r>
        <w:t xml:space="preserve">foundational digital adoption become more conditional as export intensity rises? Throughout,</w:t>
      </w:r>
      <w:r>
        <w:t xml:space="preserve"> </w:t>
      </w:r>
      <w:r>
        <w:t xml:space="preserve">results are described as associations rather than effects, consistent with the inferential limits of</w:t>
      </w:r>
      <w:r>
        <w:t xml:space="preserve"> </w:t>
      </w:r>
      <w:r>
        <w:t xml:space="preserve">repeated-cross-section data (Antonakis et al., 2010; Wooldridge, 2010).</w:t>
      </w:r>
    </w:p>
    <w:bookmarkEnd w:id="34"/>
    <w:bookmarkStart w:id="35" w:name="replication-and-reproducibility"/>
    <w:p>
      <w:pPr>
        <w:pStyle w:val="Heading3"/>
      </w:pPr>
      <w:r>
        <w:t xml:space="preserve">3.4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w:t>
      </w:r>
    </w:p>
    <w:p>
      <w:pPr>
        <w:pStyle w:val="BodyText"/>
      </w:pPr>
      <w:r>
        <w:t xml:space="preserve">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35"/>
    <w:bookmarkEnd w:id="36"/>
    <w:bookmarkStart w:id="42" w:name="results"/>
    <w:p>
      <w:pPr>
        <w:pStyle w:val="Heading2"/>
      </w:pPr>
      <w:r>
        <w:t xml:space="preserve">4. Results</w:t>
      </w:r>
    </w:p>
    <w:p>
      <w:pPr>
        <w:pStyle w:val="FirstParagraph"/>
      </w:pPr>
      <w:r>
        <w:t xml:space="preserve">Table 1 reports analytic-sample summary statistics by wave. Three patterns are worth noting</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37" w:name="wave-specific-findings"/>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and highly significant. TCI moderation is statistically distinguishable from zero (M3</w:t>
      </w:r>
      <w:r>
        <w:t xml:space="preserve"> </w:t>
      </w:r>
      <w:r>
        <w:t xml:space="preserve">joint p = .040; FSTS_c × TCI_z = -0.579, p = .087), but DAI moderation is not (M4 joint</w:t>
      </w:r>
    </w:p>
    <w:p>
      <w:pPr>
        <w:pStyle w:val="BodyText"/>
      </w:pPr>
      <w:r>
        <w:t xml:space="preserve">Table 1: Analytic-sample summary statistics by wave.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w:t>
      </w:r>
    </w:p>
    <w:p>
      <w:pPr>
        <w:pStyle w:val="BodyText"/>
      </w:pPr>
      <w:r>
        <w:t xml:space="preserve">Pooled</w:t>
      </w:r>
    </w:p>
    <w:p>
      <w:pPr>
        <w:pStyle w:val="BodyText"/>
      </w:pPr>
      <w:r>
        <w:t xml:space="preserve">(N = 989)</w:t>
      </w:r>
    </w:p>
    <w:p>
      <w:pPr>
        <w:pStyle w:val="BodyText"/>
      </w:pPr>
      <w:r>
        <w:t xml:space="preserve">(N = 956)</w:t>
      </w:r>
    </w:p>
    <w:p>
      <w:pPr>
        <w:pStyle w:val="BodyText"/>
      </w:pPr>
      <w:r>
        <w:t xml:space="preserve">(N = 1,013)</w:t>
      </w:r>
    </w:p>
    <w:p>
      <w:pPr>
        <w:pStyle w:val="BodyText"/>
      </w:pPr>
      <w:r>
        <w:t xml:space="preserve">(N = 2,958)</w:t>
      </w:r>
    </w:p>
    <w:p>
      <w:pPr>
        <w:pStyle w:val="BodyText"/>
      </w:pPr>
      <w:r>
        <w:t xml:space="preserve">ln LP (log labour productivity)</w:t>
      </w:r>
      <w:r>
        <w:t xml:space="preserve"> </w:t>
      </w:r>
      <w:r>
        <w:t xml:space="preserve">FSTS (direct-export share)</w:t>
      </w:r>
      <w:r>
        <w:t xml:space="preserve"> </w:t>
      </w:r>
      <w:r>
        <w:t xml:space="preserve">Exporter (FSTS &gt; 0) share</w:t>
      </w:r>
      <w:r>
        <w:t xml:space="preserve"> </w:t>
      </w:r>
      <w:r>
        <w:t xml:space="preserve">TCI_thin (mean of b8, e6 recoded)</w:t>
      </w:r>
      <w:r>
        <w:t xml:space="preserve"> </w:t>
      </w:r>
      <w:r>
        <w:t xml:space="preserve">DAI (c22b own website, recoded)</w:t>
      </w:r>
      <w:r>
        <w:t xml:space="preserve"> </w:t>
      </w:r>
      <w:r>
        <w:t xml:space="preserve">ln Emp (log permanent employees)</w:t>
      </w:r>
      <w:r>
        <w:t xml:space="preserve"> </w:t>
      </w:r>
      <w:r>
        <w:t xml:space="preserve">Firm Age (years since b5)</w:t>
      </w:r>
      <w:r>
        <w:t xml:space="preserve"> </w:t>
      </w:r>
      <w:r>
        <w:t xml:space="preserve">Foreign Owned (b2b &gt; 0) share</w:t>
      </w:r>
    </w:p>
    <w:p>
      <w:pPr>
        <w:pStyle w:val="BodyText"/>
      </w:pPr>
      <w:r>
        <w:t xml:space="preserve">19.41 (1.31)</w:t>
      </w:r>
      <w:r>
        <w:t xml:space="preserve"> </w:t>
      </w:r>
      <w:r>
        <w:t xml:space="preserve">0.168 (0.337)</w:t>
      </w:r>
      <w:r>
        <w:t xml:space="preserve"> </w:t>
      </w:r>
      <w:r>
        <w:t xml:space="preserve">0.284</w:t>
      </w:r>
      <w:r>
        <w:t xml:space="preserve"> </w:t>
      </w:r>
      <w:r>
        <w:t xml:space="preserve">0.169 (0.305)</w:t>
      </w:r>
      <w:r>
        <w:t xml:space="preserve"> </w:t>
      </w:r>
      <w:r>
        <w:t xml:space="preserve">0.425 (0.495)</w:t>
      </w:r>
      <w:r>
        <w:t xml:space="preserve"> </w:t>
      </w:r>
      <w:r>
        <w:t xml:space="preserve">4.07 (1.49)</w:t>
      </w:r>
      <w:r>
        <w:t xml:space="preserve"> </w:t>
      </w:r>
      <w:r>
        <w:t xml:space="preserve">11.9 (11.3)</w:t>
      </w:r>
      <w:r>
        <w:t xml:space="preserve"> </w:t>
      </w:r>
      <w:r>
        <w:t xml:space="preserve">0.142</w:t>
      </w:r>
    </w:p>
    <w:p>
      <w:pPr>
        <w:pStyle w:val="BodyText"/>
      </w:pPr>
      <w:r>
        <w:t xml:space="preserve">20.04 (1.46)</w:t>
      </w:r>
      <w:r>
        <w:t xml:space="preserve"> </w:t>
      </w:r>
      <w:r>
        <w:t xml:space="preserve">0.120 (0.284)</w:t>
      </w:r>
      <w:r>
        <w:t xml:space="preserve"> </w:t>
      </w:r>
      <w:r>
        <w:t xml:space="preserve">0.208</w:t>
      </w:r>
      <w:r>
        <w:t xml:space="preserve"> </w:t>
      </w:r>
      <w:r>
        <w:t xml:space="preserve">0.141 (0.295)</w:t>
      </w:r>
      <w:r>
        <w:t xml:space="preserve"> </w:t>
      </w:r>
      <w:r>
        <w:t xml:space="preserve">0.483 (0.500)</w:t>
      </w:r>
      <w:r>
        <w:t xml:space="preserve"> </w:t>
      </w:r>
      <w:r>
        <w:t xml:space="preserve">3.63 (1.48)</w:t>
      </w:r>
      <w:r>
        <w:t xml:space="preserve"> </w:t>
      </w:r>
      <w:r>
        <w:t xml:space="preserve">12.8 (9.6)</w:t>
      </w:r>
      <w:r>
        <w:t xml:space="preserve"> </w:t>
      </w:r>
      <w:r>
        <w:t xml:space="preserve">0.090</w:t>
      </w:r>
    </w:p>
    <w:p>
      <w:pPr>
        <w:pStyle w:val="BodyText"/>
      </w:pPr>
      <w:r>
        <w:t xml:space="preserve">20.55 (1.47)</w:t>
      </w:r>
      <w:r>
        <w:t xml:space="preserve"> </w:t>
      </w:r>
      <w:r>
        <w:t xml:space="preserve">0.131 (0.311)</w:t>
      </w:r>
      <w:r>
        <w:t xml:space="preserve"> </w:t>
      </w:r>
      <w:r>
        <w:t xml:space="preserve">0.188</w:t>
      </w:r>
      <w:r>
        <w:t xml:space="preserve"> </w:t>
      </w:r>
      <w:r>
        <w:t xml:space="preserve">0.146 (0.276)</w:t>
      </w:r>
      <w:r>
        <w:t xml:space="preserve"> </w:t>
      </w:r>
      <w:r>
        <w:t xml:space="preserve">0.498 (0.500)</w:t>
      </w:r>
      <w:r>
        <w:t xml:space="preserve"> </w:t>
      </w:r>
      <w:r>
        <w:t xml:space="preserve">3.58 (1.54)</w:t>
      </w:r>
      <w:r>
        <w:t xml:space="preserve"> </w:t>
      </w:r>
      <w:r>
        <w:t xml:space="preserve">14.1 (7.9)</w:t>
      </w:r>
      <w:r>
        <w:t xml:space="preserve"> </w:t>
      </w:r>
      <w:r>
        <w:t xml:space="preserve">0.125</w:t>
      </w:r>
    </w:p>
    <w:p>
      <w:pPr>
        <w:pStyle w:val="BodyText"/>
      </w:pPr>
      <w:r>
        <w:t xml:space="preserve">20.00 (1.49)</w:t>
      </w:r>
      <w:r>
        <w:t xml:space="preserve"> </w:t>
      </w:r>
      <w:r>
        <w:t xml:space="preserve">0.140 (0.312)</w:t>
      </w:r>
      <w:r>
        <w:t xml:space="preserve"> </w:t>
      </w:r>
      <w:r>
        <w:t xml:space="preserve">0.226</w:t>
      </w:r>
      <w:r>
        <w:t xml:space="preserve"> </w:t>
      </w:r>
      <w:r>
        <w:t xml:space="preserve">0.152 (0.292)</w:t>
      </w:r>
      <w:r>
        <w:t xml:space="preserve"> </w:t>
      </w:r>
      <w:r>
        <w:t xml:space="preserve">0.469 (0.499)</w:t>
      </w:r>
      <w:r>
        <w:t xml:space="preserve"> </w:t>
      </w:r>
      <w:r>
        <w:t xml:space="preserve">3.76 (1.52)</w:t>
      </w:r>
      <w:r>
        <w:t xml:space="preserve"> </w:t>
      </w:r>
      <w:r>
        <w:t xml:space="preserve">12.9 (9.7)</w:t>
      </w:r>
      <w:r>
        <w:t xml:space="preserve"> </w:t>
      </w:r>
      <w:r>
        <w:t xml:space="preserve">0.119</w:t>
      </w:r>
    </w:p>
    <w:p>
      <w:pPr>
        <w:pStyle w:val="BodyText"/>
      </w:pPr>
      <w:r>
        <w:t xml:space="preserve">ISIC sector fixed effects</w:t>
      </w:r>
    </w:p>
    <w:p>
      <w:pPr>
        <w:pStyle w:val="BodyText"/>
      </w:pPr>
      <w:r>
        <w:t xml:space="preserve">a4b 1-digit</w:t>
      </w:r>
    </w:p>
    <w:p>
      <w:pPr>
        <w:pStyle w:val="BodyText"/>
      </w:pPr>
      <w:r>
        <w:t xml:space="preserve">a4b 1-digit</w:t>
      </w:r>
    </w:p>
    <w:p>
      <w:pPr>
        <w:pStyle w:val="BodyText"/>
      </w:pPr>
      <w:r>
        <w:t xml:space="preserve">a4a 1-digit</w:t>
      </w:r>
    </w:p>
    <w:p>
      <w:pPr>
        <w:pStyle w:val="BodyText"/>
      </w:pPr>
      <w:r>
        <w:t xml:space="preserve">wave + a4b/a4a</w:t>
      </w:r>
    </w:p>
    <w:p>
      <w:pPr>
        <w:pStyle w:val="BodyText"/>
      </w:pPr>
      <w:r>
        <w:t xml:space="preserve">Cell entries are mean (standard deviation) for continuous variables and proportion for binary indicators.</w:t>
      </w:r>
      <w:r>
        <w:t xml:space="preserve"> </w:t>
      </w:r>
      <w:r>
        <w:t xml:space="preserve">Listwise deletion is applied on the focal variable set with WBES non-response codes (−9) treated as missing.</w:t>
      </w:r>
      <w:r>
        <w:t xml:space="preserve"> </w:t>
      </w:r>
      <w:r>
        <w:t xml:space="preserve">Source: World Bank Enterprise Surveys, Vietnam 2009 / 2015 / 2023 (World Bank, 2010, 2016, 2024).</w:t>
      </w:r>
      <w:r>
        <w:t xml:space="preserve"> </w:t>
      </w:r>
      <w:r>
        <w:t xml:space="preserve">Notes.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w:t>
      </w:r>
    </w:p>
    <w:p>
      <w:pPr>
        <w:pStyle w:val="BodyText"/>
      </w:pPr>
      <w:r>
        <w:t xml:space="preserve">2 β = -2.115 (p = .004), with Lind–Mehlum p =</w:t>
      </w:r>
    </w:p>
    <w:p>
      <w:pPr>
        <w:pStyle w:val="BodyText"/>
      </w:pPr>
      <w:r>
        <w:t xml:space="preserve">FSTS_c β = 1.159 (p = .029) and FSTS_c</w:t>
      </w:r>
    </w:p>
    <w:p>
      <w:pPr>
        <w:pStyle w:val="BodyText"/>
      </w:pPr>
      <w:r>
        <w:t xml:space="preserve">.009.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w:t>
      </w:r>
    </w:p>
    <w:p>
      <w:pPr>
        <w:pStyle w:val="BodyText"/>
      </w:pPr>
      <w:r>
        <w:t xml:space="preserve">M2 again</w:t>
      </w:r>
    </w:p>
    <w:p>
      <w:pPr>
        <w:pStyle w:val="BodyText"/>
      </w:pPr>
      <w:r>
        <w:t xml:space="preserve">indicates a clear inverted-U (FSTS_c β = 0.962, p = .039; FSTS_c β = -1.686, p = .008;</w:t>
      </w:r>
      <w:r>
        <w:t xml:space="preserve"> </w:t>
      </w:r>
      <w:r>
        <w:t xml:space="preserve">Lind–Mehlum p = .013).</w:t>
      </w:r>
    </w:p>
    <w:p>
      <w:pPr>
        <w:pStyle w:val="BodyText"/>
      </w:pPr>
      <w:r>
        <w:t xml:space="preserve">In the dual-direct M7, both capability dimensions are positive and</w:t>
      </w:r>
    </w:p>
    <w:p>
      <w:pPr>
        <w:pStyle w:val="BodyText"/>
      </w:pPr>
      <w:r>
        <w:t xml:space="preserve">significant (TCI_z β = 0.123, p = .006; DAI_z β = 0.095, p = .038). When the DAI interaction</w:t>
      </w:r>
      <w:r>
        <w:t xml:space="preserve"> </w:t>
      </w:r>
      <w:r>
        <w:t xml:space="preserve">terms are added in M8, the linear interaction is negative and individually significant (FSTS_c</w:t>
      </w:r>
    </w:p>
    <w:p>
      <w:pPr>
        <w:pStyle w:val="BodyText"/>
      </w:pPr>
      <w:r>
        <w:t xml:space="preserve">× DAI_z = -0.912, p = .043), the quadratic interaction is positive and marginal (FSTS_c2 ×</w:t>
      </w:r>
      <w:r>
        <w:t xml:space="preserve"> </w:t>
      </w:r>
      <w:r>
        <w:t xml:space="preserve">DAI_z = 1.043, p = .099), and the joint test sits at marginal significance (M4 joint p = .102;</w:t>
      </w:r>
    </w:p>
    <w:p>
      <w:pPr>
        <w:pStyle w:val="BodyText"/>
      </w:pPr>
      <w:r>
        <w:t xml:space="preserve">M8 joint p = .062). The substantive reading is that, by 2023, basic digital adoption becomes</w:t>
      </w:r>
      <w:r>
        <w:t xml:space="preserve"> </w:t>
      </w:r>
      <w:r>
        <w:t xml:space="preserve">more conditional on export intensity:</w:t>
      </w:r>
    </w:p>
    <w:p>
      <w:pPr>
        <w:pStyle w:val="BodyText"/>
      </w:pPr>
      <w:r>
        <w:t xml:space="preserve">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 0.128 → 0.123) but with moderation</w:t>
      </w:r>
    </w:p>
    <w:p>
      <w:pPr>
        <w:pStyle w:val="BodyText"/>
      </w:pPr>
      <w:r>
        <w:t xml:space="preserve">that survives in the 2009, 2023 and pooled panels. Website-based digital presence follows a nonmonotonic trajectory — strong in 2009 (β = 0.175 **</w:t>
      </w:r>
      <w:r>
        <w:rPr>
          <w:iCs/>
          <w:i/>
        </w:rPr>
        <w:t xml:space="preserve">), null in 2015 (β = -0.044 n.s.), and</w:t>
      </w:r>
      <w:r>
        <w:rPr>
          <w:iCs/>
          <w:i/>
        </w:rPr>
        <w:t xml:space="preserve"> </w:t>
      </w:r>
      <w:r>
        <w:rPr>
          <w:iCs/>
          <w:i/>
        </w:rPr>
        <w:t xml:space="preserve">re-emerging in 2023 (β = 0.095</w:t>
      </w:r>
      <w:r>
        <w:rPr>
          <w:iCs/>
          <w:i/>
        </w:rPr>
        <w:t xml:space="preserve"> </w:t>
      </w:r>
      <w:r>
        <w:t xml:space="preserve">) — and its moderation channel materialises only in 2023.</w:t>
      </w:r>
      <w:r>
        <w:t xml:space="preserve"> </w:t>
      </w:r>
      <w:r>
        <w:t xml:space="preserve">The Paternoster cross-wave z-tests reported in 4.5 confirm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confirms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 even at the website-only layer — generated direct gains because the alternative was</w:t>
      </w:r>
      <w:r>
        <w:t xml:space="preserve"> </w:t>
      </w:r>
      <w:r>
        <w:t xml:space="preserve">paper-based transaction processing. The 2015 wave captures a transitional phase in which the</w:t>
      </w:r>
    </w:p>
    <w:p>
      <w:pPr>
        <w:pStyle w:val="BodyText"/>
      </w:pPr>
      <w:r>
        <w:t xml:space="preserve">2 = -2.115, p = .004 in M2) but the digital channel</w:t>
      </w:r>
    </w:p>
    <w:p>
      <w:pPr>
        <w:pStyle w:val="BodyText"/>
      </w:pPr>
      <w:r>
        <w:t xml:space="preserve">I–P curvature is unusually sharp (FSTS_c</w:t>
      </w:r>
      <w:r>
        <w:t xml:space="preserve"> </w:t>
      </w:r>
      <w:r>
        <w:t xml:space="preserve">compresses entirely:</w:t>
      </w:r>
    </w:p>
    <w:p>
      <w:pPr>
        <w:pStyle w:val="BodyText"/>
      </w:pPr>
      <w:r>
        <w:t xml:space="preserve">DAI_z loses direct salience and shows no joint moderation, suggesting</w:t>
      </w:r>
    </w:p>
    <w:p>
      <w:pPr>
        <w:pStyle w:val="BodyText"/>
      </w:pPr>
      <w:r>
        <w:t xml:space="preserve">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shows that this conditional channel binds primarily at</w:t>
      </w:r>
      <w:r>
        <w:t xml:space="preserve"> </w:t>
      </w:r>
      <w:r>
        <w:t xml:space="preserve">higher export intensity rather than uniformly across the export-intensity range.</w:t>
      </w:r>
    </w:p>
    <w:bookmarkEnd w:id="37"/>
    <w:bookmarkStart w:id="38" w:name="pooled-findings"/>
    <w:p>
      <w:pPr>
        <w:pStyle w:val="Heading3"/>
      </w:pPr>
      <w:r>
        <w:t xml:space="preserve">4.2 Pooled findings</w:t>
      </w:r>
    </w:p>
    <w:p>
      <w:pPr>
        <w:pStyle w:val="FirstParagraph"/>
      </w:pPr>
      <w:r>
        <w:t xml:space="preserve">The pooled estimates confirm that the internationalisation–performance relationship is nonlinear</w:t>
      </w:r>
      <w:r>
        <w:t xml:space="preserve"> </w:t>
      </w:r>
      <w:r>
        <w:t xml:space="preserve">on average. In the pooled M2 specification, the linear FSTS_c term is positive (β = 0.984, p</w:t>
      </w:r>
    </w:p>
    <w:p>
      <w:pPr>
        <w:pStyle w:val="BodyText"/>
      </w:pPr>
      <w:r>
        <w:t xml:space="preserve">2 term is negative (β = -1.909, p &lt; .001); the Lind–Mehlum</w:t>
      </w:r>
    </w:p>
    <w:p>
      <w:pPr>
        <w:pStyle w:val="BodyText"/>
      </w:pPr>
      <w:r>
        <w:t xml:space="preserve">&lt; .001) and the quadratic FSTS_c</w:t>
      </w:r>
    </w:p>
    <w:p>
      <w:pPr>
        <w:pStyle w:val="BodyText"/>
      </w:pPr>
      <w:r>
        <w:t xml:space="preserve">test rejects monotonicity at p &lt; .001 with an estimated turning point at 39.7 per cent of directexport intensity. The curvature persists in the full M8 specification (FSTS_c β = 0.845, p = .006;</w:t>
      </w:r>
      <w:r>
        <w:t xml:space="preserve"> </w:t>
      </w:r>
      <w:r>
        <w:t xml:space="preserve">FSTS_c</w:t>
      </w:r>
    </w:p>
    <w:p>
      <w:pPr>
        <w:pStyle w:val="BodyText"/>
      </w:pPr>
      <w:r>
        <w:t xml:space="preserve">2 β = -1.650, p &lt; .001), supporting H1 and aligning with the meta-analytic evidence</w:t>
      </w:r>
    </w:p>
    <w:p>
      <w:pPr>
        <w:pStyle w:val="BodyText"/>
      </w:pPr>
      <w:r>
        <w:t xml:space="preserve">on the nonlinear shape of internationalisation returns in emerging-market firms (Marano et al.,</w:t>
      </w:r>
      <w:r>
        <w:t xml:space="preserve"> </w:t>
      </w:r>
      <w:r>
        <w:t xml:space="preserve">2016).</w:t>
      </w:r>
      <w:r>
        <w:t xml:space="preserve"> </w:t>
      </w:r>
      <w:r>
        <w:t xml:space="preserve">The pooled evidence shows that both technological capability and basic digital adoption are</w:t>
      </w:r>
      <w:r>
        <w:t xml:space="preserve"> </w:t>
      </w:r>
      <w:r>
        <w:t xml:space="preserve">positively associated with firm performance on average. In the pooled M7 dual-direct specification, TCI_z is positive and highly significant (β = 0.179, p &lt; .001), and DAI_z is positive</w:t>
      </w:r>
      <w:r>
        <w:t xml:space="preserve"> </w:t>
      </w:r>
      <w:r>
        <w:t xml:space="preserve">and significant (β = 0.078, p = .004).</w:t>
      </w:r>
    </w:p>
    <w:p>
      <w:pPr>
        <w:pStyle w:val="BodyText"/>
      </w:pPr>
      <w:r>
        <w:t xml:space="preserve">In the full M8 specification, the TCI_z coefficient is</w:t>
      </w:r>
    </w:p>
    <w:p>
      <w:pPr>
        <w:pStyle w:val="BodyText"/>
      </w:pPr>
      <w:r>
        <w:t xml:space="preserve">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 precisely the pattern</w:t>
      </w:r>
    </w:p>
    <w:p>
      <w:pPr>
        <w:pStyle w:val="BodyText"/>
      </w:pPr>
      <w:r>
        <w:t xml:space="preserve">documented in 4.1 for the 2023 wave.</w:t>
      </w:r>
      <w:r>
        <w:t xml:space="preserve"> </w:t>
      </w:r>
      <w:r>
        <w:t xml:space="preserve">The pooled interaction terms involving DAI_z carry a marginal joint signal.</w:t>
      </w:r>
    </w:p>
    <w:p>
      <w:pPr>
        <w:pStyle w:val="BodyText"/>
      </w:pPr>
      <w:r>
        <w:t xml:space="preserve">The linear</w:t>
      </w:r>
    </w:p>
    <w:p>
      <w:pPr>
        <w:pStyle w:val="BodyText"/>
      </w:pPr>
      <w:r>
        <w:t xml:space="preserve">interaction is negative but not individually significant (FSTS_c × DAI_z = -0.448, p = .116),</w:t>
      </w:r>
      <w:r>
        <w:t xml:space="preserve"> </w:t>
      </w:r>
      <w:r>
        <w:t xml:space="preserve">and the quadratic interaction is positive but not significant (FSTS_c</w:t>
      </w:r>
    </w:p>
    <w:p>
      <w:pPr>
        <w:pStyle w:val="BodyText"/>
      </w:pPr>
      <w:r>
        <w:t xml:space="preserve">2 × DAI_z = 0.460, p =</w:t>
      </w:r>
    </w:p>
    <w:p>
      <w:pPr>
        <w:pStyle w:val="BodyText"/>
      </w:pPr>
      <w:r>
        <w:t xml:space="preserve">.276). The joint Wald test sits at marginal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reaches marginal significance only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w:t>
      </w:r>
    </w:p>
    <w:p>
      <w:pPr>
        <w:pStyle w:val="BodyText"/>
      </w:pPr>
      <w:r>
        <w:t xml:space="preserve">The M3</w:t>
      </w:r>
    </w:p>
    <w:p>
      <w:pPr>
        <w:pStyle w:val="BodyText"/>
      </w:pPr>
      <w:r>
        <w:t xml:space="preserve">joint test on FSTS_c × TCI_z and FSTS_c × TCI_z is statistically distinguishable from</w:t>
      </w:r>
      <w:r>
        <w:t xml:space="preserve"> </w:t>
      </w:r>
      <w:r>
        <w:t xml:space="preserve">zero in three of four panels (2009 p = .040, 2023 p = .027, pooled p = .003) and null only in</w:t>
      </w:r>
      <w:r>
        <w:t xml:space="preserve"> </w:t>
      </w:r>
      <w:r>
        <w:t xml:space="preserve">2015 (p = .713). Pooled, the linear interaction is negative (FSTS_c × TCI_z = -0.587, p =</w:t>
      </w:r>
      <w:r>
        <w:t xml:space="preserve"> </w:t>
      </w:r>
      <w:r>
        <w:t xml:space="preserve">.003) and the quadratic is positive (FSTS_c</w:t>
      </w:r>
    </w:p>
    <w:p>
      <w:pPr>
        <w:pStyle w:val="BodyText"/>
      </w:pPr>
      <w:r>
        <w:t xml:space="preserve">2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r>
        <w:t xml:space="preserve"> </w:t>
      </w:r>
      <w:r>
        <w:t xml:space="preserve">shows that this conclusion would be incomplete.</w:t>
      </w:r>
    </w:p>
    <w:p>
      <w:pPr>
        <w:pStyle w:val="BodyText"/>
      </w:pPr>
      <w:r>
        <w:t xml:space="preserve">The wave-specific evidence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bookmarkEnd w:id="38"/>
    <w:bookmarkStart w:id="39" w:name="interpretation-of-the-hypothesis-tests"/>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 H2 is supported by the positive TCI_z</w:t>
      </w:r>
      <w:r>
        <w:t xml:space="preserve"> </w:t>
      </w:r>
      <w:r>
        <w:t xml:space="preserve">direct association in the pooled sample (β = 0.179, p &lt; .001) and in all three wavespecific periods (2009 p &lt; .001; 2015 p = .010; 2023 p = .006), reinforced by statistically distinguishable TCI moderation in three of four panels (M3 joint p = .040,</w:t>
      </w:r>
      <w:r>
        <w:t xml:space="preserve"> </w:t>
      </w:r>
      <w:r>
        <w:t xml:space="preserve">.713, .027 and .003). H3 is supported on average but not uniformly across waves:</w:t>
      </w:r>
      <w:r>
        <w:t xml:space="preserve"> </w:t>
      </w:r>
      <w:r>
        <w:t xml:space="preserve">the pooled M7 estimate of DAI_z is positive and significant (β = 0.078, p = .004),</w:t>
      </w:r>
      <w:r>
        <w:t xml:space="preserve"> </w:t>
      </w:r>
      <w:r>
        <w:t xml:space="preserve">but DAI_z varies sharply across waves — strong in 2009 (β = 0.175, p &lt; .001), null</w:t>
      </w:r>
    </w:p>
    <w:p>
      <w:pPr>
        <w:pStyle w:val="BodyText"/>
      </w:pPr>
      <w:r>
        <w:t xml:space="preserve">in 2015 (β = -0.044, p = .377) and re-emerging in 2023 (β = 0.095, p = .038). The</w:t>
      </w:r>
      <w:r>
        <w:t xml:space="preserve"> </w:t>
      </w:r>
      <w:r>
        <w:t xml:space="preserve">Paternoster cross-wave z-tests (4.5, Panel F) confirm that the 2009-to-2015 fall (z</w:t>
      </w:r>
      <w:r>
        <w:t xml:space="preserve"> </w:t>
      </w:r>
      <w:r>
        <w:t xml:space="preserve">= 3.353, p &lt; .001) and the 2015-to-2023 recovery (z = -2.051, p = .040) are both</w:t>
      </w:r>
      <w:r>
        <w:t xml:space="preserve"> </w:t>
      </w:r>
      <w:r>
        <w:t xml:space="preserve">statistically distinguishable shifts.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at marginal significance,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bookmarkEnd w:id="39"/>
    <w:bookmarkStart w:id="40" w:name="X23d394b5fab5dc8f1b4dd565bcba255732d0503"/>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w:t>
      </w:r>
      <w:r>
        <w:t xml:space="preserve"> </w:t>
      </w:r>
      <w:r>
        <w:t xml:space="preserve">term is negative (β = -0.861, p &lt; .001) but the quadratic term is not significant (FSTS_c</w:t>
      </w:r>
    </w:p>
    <w:p>
      <w:pPr>
        <w:pStyle w:val="BodyText"/>
      </w:pPr>
      <w:r>
        <w:t xml:space="preserve">2β</w:t>
      </w:r>
    </w:p>
    <w:p>
      <w:pPr>
        <w:pStyle w:val="BodyText"/>
      </w:pPr>
      <w:r>
        <w:t xml:space="preserve">=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1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1 summarises the directional interpretation of the focal coefficients from the full specifications by wave and for the pooled sample.</w:t>
      </w:r>
    </w:p>
    <w:bookmarkEnd w:id="40"/>
    <w:bookmarkStart w:id="41" w:name="robustness"/>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are estimated on the same OLS HC1 design as the main models.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2009</w:t>
            </w:r>
          </w:p>
        </w:tc>
        <w:tc>
          <w:tcPr/>
          <w:p>
            <w:pPr>
              <w:pStyle w:val="Compact"/>
              <w:jc w:val="left"/>
            </w:pPr>
            <w:r>
              <w:t xml:space="preserve">2015</w:t>
            </w:r>
          </w:p>
        </w:tc>
        <w:tc>
          <w:tcPr/>
          <w:p>
            <w:pPr>
              <w:pStyle w:val="Compact"/>
              <w:jc w:val="left"/>
            </w:pPr>
            <w:r>
              <w:t xml:space="preserve">2023</w:t>
            </w:r>
          </w:p>
        </w:tc>
        <w:tc>
          <w:tcPr/>
          <w:p>
            <w:pPr>
              <w:pStyle w:val="Compact"/>
              <w:jc w:val="left"/>
            </w:pPr>
            <w:r>
              <w:t xml:space="preserve">Pooled</w:t>
            </w:r>
          </w:p>
        </w:tc>
      </w:tr>
      <w:tr>
        <w:tc>
          <w:tcPr/>
          <w:p>
            <w:pPr>
              <w:pStyle w:val="Compact"/>
              <w:jc w:val="left"/>
            </w:pPr>
            <w:r>
              <w:rPr>
                <w:bCs/>
                <w:b/>
              </w:rPr>
              <w:t xml:space="preserve">M2: I–P quadratic</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FSTS_c</w:t>
            </w:r>
          </w:p>
        </w:tc>
        <w:tc>
          <w:tcPr/>
          <w:p>
            <w:pPr>
              <w:pStyle w:val="Compact"/>
              <w:jc w:val="left"/>
            </w:pPr>
            <w:r>
              <w:t xml:space="preserve">+1.045* (0.431)</w:t>
            </w:r>
          </w:p>
        </w:tc>
        <w:tc>
          <w:tcPr/>
          <w:p>
            <w:pPr>
              <w:pStyle w:val="Compact"/>
              <w:jc w:val="left"/>
            </w:pPr>
            <w:r>
              <w:t xml:space="preserve">+1.159* (0.531)</w:t>
            </w:r>
          </w:p>
        </w:tc>
        <w:tc>
          <w:tcPr/>
          <w:p>
            <w:pPr>
              <w:pStyle w:val="Compact"/>
              <w:jc w:val="left"/>
            </w:pPr>
            <w:r>
              <w:t xml:space="preserve">+0.962* (0.466)</w:t>
            </w:r>
          </w:p>
        </w:tc>
        <w:tc>
          <w:tcPr/>
          <w:p>
            <w:pPr>
              <w:pStyle w:val="Compact"/>
              <w:jc w:val="left"/>
            </w:pPr>
            <w:r>
              <w:t xml:space="preserve">+0.984*** (0.284)</w:t>
            </w:r>
          </w:p>
        </w:tc>
      </w:tr>
      <w:tr>
        <w:tc>
          <w:tcPr/>
          <w:p>
            <w:pPr>
              <w:pStyle w:val="Compact"/>
              <w:jc w:val="left"/>
            </w:pPr>
            <w:r>
              <w:t xml:space="preserve">FSTS_c²</w:t>
            </w:r>
          </w:p>
        </w:tc>
        <w:tc>
          <w:tcPr/>
          <w:p>
            <w:pPr>
              <w:pStyle w:val="Compact"/>
              <w:jc w:val="left"/>
            </w:pPr>
            <w:r>
              <w:t xml:space="preserve">-1.774** (0.682)</w:t>
            </w:r>
          </w:p>
        </w:tc>
        <w:tc>
          <w:tcPr/>
          <w:p>
            <w:pPr>
              <w:pStyle w:val="Compact"/>
              <w:jc w:val="left"/>
            </w:pPr>
            <w:r>
              <w:t xml:space="preserve">-2.115** (0.735)</w:t>
            </w:r>
          </w:p>
        </w:tc>
        <w:tc>
          <w:tcPr/>
          <w:p>
            <w:pPr>
              <w:pStyle w:val="Compact"/>
              <w:jc w:val="left"/>
            </w:pPr>
            <w:r>
              <w:t xml:space="preserve">-1.686** (0.634)</w:t>
            </w:r>
          </w:p>
        </w:tc>
        <w:tc>
          <w:tcPr/>
          <w:p>
            <w:pPr>
              <w:pStyle w:val="Compact"/>
              <w:jc w:val="left"/>
            </w:pPr>
            <w:r>
              <w:t xml:space="preserve">-1.909*** (0.407)</w:t>
            </w:r>
          </w:p>
        </w:tc>
      </w:tr>
      <w:tr>
        <w:tc>
          <w:tcPr/>
          <w:p>
            <w:pPr>
              <w:pStyle w:val="Compact"/>
              <w:jc w:val="left"/>
            </w:pPr>
            <w:r>
              <w:rPr>
                <w:bCs/>
                <w:b/>
              </w:rPr>
              <w:t xml:space="preserve">M7: + TCI + DAI direct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FSTS_c</w:t>
            </w:r>
          </w:p>
        </w:tc>
        <w:tc>
          <w:tcPr/>
          <w:p>
            <w:pPr>
              <w:pStyle w:val="Compact"/>
              <w:jc w:val="left"/>
            </w:pPr>
            <w:r>
              <w:t xml:space="preserve">+0.679 (0.426)</w:t>
            </w:r>
          </w:p>
        </w:tc>
        <w:tc>
          <w:tcPr/>
          <w:p>
            <w:pPr>
              <w:pStyle w:val="Compact"/>
              <w:jc w:val="left"/>
            </w:pPr>
            <w:r>
              <w:t xml:space="preserve">+1.093* (0.533)</w:t>
            </w:r>
          </w:p>
        </w:tc>
        <w:tc>
          <w:tcPr/>
          <w:p>
            <w:pPr>
              <w:pStyle w:val="Compact"/>
              <w:jc w:val="left"/>
            </w:pPr>
            <w:r>
              <w:t xml:space="preserve">+0.620 (0.480)</w:t>
            </w:r>
          </w:p>
        </w:tc>
        <w:tc>
          <w:tcPr/>
          <w:p>
            <w:pPr>
              <w:pStyle w:val="Compact"/>
              <w:jc w:val="left"/>
            </w:pPr>
            <w:r>
              <w:t xml:space="preserve">+0.695* (0.285)</w:t>
            </w:r>
          </w:p>
        </w:tc>
      </w:tr>
      <w:tr>
        <w:tc>
          <w:tcPr/>
          <w:p>
            <w:pPr>
              <w:pStyle w:val="Compact"/>
              <w:jc w:val="left"/>
            </w:pPr>
            <w:r>
              <w:t xml:space="preserve">FSTS_c²</w:t>
            </w:r>
          </w:p>
        </w:tc>
        <w:tc>
          <w:tcPr/>
          <w:p>
            <w:pPr>
              <w:pStyle w:val="Compact"/>
              <w:jc w:val="left"/>
            </w:pPr>
            <w:r>
              <w:t xml:space="preserve">-1.073 (0.674)</w:t>
            </w:r>
          </w:p>
        </w:tc>
        <w:tc>
          <w:tcPr/>
          <w:p>
            <w:pPr>
              <w:pStyle w:val="Compact"/>
              <w:jc w:val="left"/>
            </w:pPr>
            <w:r>
              <w:t xml:space="preserve">-2.033** (0.738)</w:t>
            </w:r>
          </w:p>
        </w:tc>
        <w:tc>
          <w:tcPr/>
          <w:p>
            <w:pPr>
              <w:pStyle w:val="Compact"/>
              <w:jc w:val="left"/>
            </w:pPr>
            <w:r>
              <w:t xml:space="preserve">-1.204† (0.653)</w:t>
            </w:r>
          </w:p>
        </w:tc>
        <w:tc>
          <w:tcPr/>
          <w:p>
            <w:pPr>
              <w:pStyle w:val="Compact"/>
              <w:jc w:val="left"/>
            </w:pPr>
            <w:r>
              <w:t xml:space="preserve">-1.451*** (0.410)</w:t>
            </w:r>
          </w:p>
        </w:tc>
      </w:tr>
      <w:tr>
        <w:tc>
          <w:tcPr/>
          <w:p>
            <w:pPr>
              <w:pStyle w:val="Compact"/>
              <w:jc w:val="left"/>
            </w:pPr>
            <w:r>
              <w:t xml:space="preserve">TCI_z</w:t>
            </w:r>
          </w:p>
        </w:tc>
        <w:tc>
          <w:tcPr/>
          <w:p>
            <w:pPr>
              <w:pStyle w:val="Compact"/>
              <w:jc w:val="left"/>
            </w:pPr>
            <w:r>
              <w:t xml:space="preserve">+0.214*** (0.046)</w:t>
            </w:r>
          </w:p>
        </w:tc>
        <w:tc>
          <w:tcPr/>
          <w:p>
            <w:pPr>
              <w:pStyle w:val="Compact"/>
              <w:jc w:val="left"/>
            </w:pPr>
            <w:r>
              <w:t xml:space="preserve">+0.128* (0.050)</w:t>
            </w:r>
          </w:p>
        </w:tc>
        <w:tc>
          <w:tcPr/>
          <w:p>
            <w:pPr>
              <w:pStyle w:val="Compact"/>
              <w:jc w:val="left"/>
            </w:pPr>
            <w:r>
              <w:t xml:space="preserve">+0.123** (0.045)</w:t>
            </w:r>
          </w:p>
        </w:tc>
        <w:tc>
          <w:tcPr/>
          <w:p>
            <w:pPr>
              <w:pStyle w:val="Compact"/>
              <w:jc w:val="left"/>
            </w:pPr>
            <w:r>
              <w:t xml:space="preserve">+0.179*** (0.028)</w:t>
            </w:r>
          </w:p>
        </w:tc>
      </w:tr>
      <w:tr>
        <w:tc>
          <w:tcPr/>
          <w:p>
            <w:pPr>
              <w:pStyle w:val="Compact"/>
              <w:jc w:val="left"/>
            </w:pPr>
            <w:r>
              <w:t xml:space="preserve">DAI_z</w:t>
            </w:r>
          </w:p>
        </w:tc>
        <w:tc>
          <w:tcPr/>
          <w:p>
            <w:pPr>
              <w:pStyle w:val="Compact"/>
              <w:jc w:val="left"/>
            </w:pPr>
            <w:r>
              <w:t xml:space="preserve">+0.175*** (0.042)</w:t>
            </w:r>
          </w:p>
        </w:tc>
        <w:tc>
          <w:tcPr/>
          <w:p>
            <w:pPr>
              <w:pStyle w:val="Compact"/>
              <w:jc w:val="left"/>
            </w:pPr>
            <w:r>
              <w:t xml:space="preserve">-0.044 (0.050)</w:t>
            </w:r>
          </w:p>
        </w:tc>
        <w:tc>
          <w:tcPr/>
          <w:p>
            <w:pPr>
              <w:pStyle w:val="Compact"/>
              <w:jc w:val="left"/>
            </w:pPr>
            <w:r>
              <w:t xml:space="preserve">+0.095* (0.046)</w:t>
            </w:r>
          </w:p>
        </w:tc>
        <w:tc>
          <w:tcPr/>
          <w:p>
            <w:pPr>
              <w:pStyle w:val="Compact"/>
              <w:jc w:val="left"/>
            </w:pPr>
            <w:r>
              <w:t xml:space="preserve">+0.078** (0.027)</w:t>
            </w:r>
          </w:p>
        </w:tc>
      </w:tr>
      <w:tr>
        <w:tc>
          <w:tcPr/>
          <w:p>
            <w:pPr>
              <w:pStyle w:val="Compact"/>
              <w:jc w:val="left"/>
            </w:pPr>
            <w:r>
              <w:rPr>
                <w:bCs/>
                <w:b/>
              </w:rPr>
              <w:t xml:space="preserve">M8: + DAI × FSTS interactions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FSTS_c</w:t>
            </w:r>
          </w:p>
        </w:tc>
        <w:tc>
          <w:tcPr/>
          <w:p>
            <w:pPr>
              <w:pStyle w:val="Compact"/>
              <w:jc w:val="left"/>
            </w:pPr>
            <w:r>
              <w:t xml:space="preserve">+0.686 (0.423)</w:t>
            </w:r>
          </w:p>
        </w:tc>
        <w:tc>
          <w:tcPr/>
          <w:p>
            <w:pPr>
              <w:pStyle w:val="Compact"/>
              <w:jc w:val="left"/>
            </w:pPr>
            <w:r>
              <w:t xml:space="preserve">+1.241† (0.641)</w:t>
            </w:r>
          </w:p>
        </w:tc>
        <w:tc>
          <w:tcPr/>
          <w:p>
            <w:pPr>
              <w:pStyle w:val="Compact"/>
              <w:jc w:val="left"/>
            </w:pPr>
            <w:r>
              <w:t xml:space="preserve">+1.072* (0.493)</w:t>
            </w:r>
          </w:p>
        </w:tc>
        <w:tc>
          <w:tcPr/>
          <w:p>
            <w:pPr>
              <w:pStyle w:val="Compact"/>
              <w:jc w:val="left"/>
            </w:pPr>
            <w:r>
              <w:t xml:space="preserve">+0.845** (0.308)</w:t>
            </w:r>
          </w:p>
        </w:tc>
      </w:tr>
      <w:tr>
        <w:tc>
          <w:tcPr/>
          <w:p>
            <w:pPr>
              <w:pStyle w:val="Compact"/>
              <w:jc w:val="left"/>
            </w:pPr>
            <w:r>
              <w:t xml:space="preserve">FSTS_c²</w:t>
            </w:r>
          </w:p>
        </w:tc>
        <w:tc>
          <w:tcPr/>
          <w:p>
            <w:pPr>
              <w:pStyle w:val="Compact"/>
              <w:jc w:val="left"/>
            </w:pPr>
            <w:r>
              <w:t xml:space="preserve">-1.074 (0.678)</w:t>
            </w:r>
          </w:p>
        </w:tc>
        <w:tc>
          <w:tcPr/>
          <w:p>
            <w:pPr>
              <w:pStyle w:val="Compact"/>
              <w:jc w:val="left"/>
            </w:pPr>
            <w:r>
              <w:t xml:space="preserve">-2.198* (0.874)</w:t>
            </w:r>
          </w:p>
        </w:tc>
        <w:tc>
          <w:tcPr/>
          <w:p>
            <w:pPr>
              <w:pStyle w:val="Compact"/>
              <w:jc w:val="left"/>
            </w:pPr>
            <w:r>
              <w:t xml:space="preserve">-1.793** (0.666)</w:t>
            </w:r>
          </w:p>
        </w:tc>
        <w:tc>
          <w:tcPr/>
          <w:p>
            <w:pPr>
              <w:pStyle w:val="Compact"/>
              <w:jc w:val="left"/>
            </w:pPr>
            <w:r>
              <w:t xml:space="preserve">-1.650*** (0.442)</w:t>
            </w:r>
          </w:p>
        </w:tc>
      </w:tr>
      <w:tr>
        <w:tc>
          <w:tcPr/>
          <w:p>
            <w:pPr>
              <w:pStyle w:val="Compact"/>
              <w:jc w:val="left"/>
            </w:pPr>
            <w:r>
              <w:t xml:space="preserve">TCI_z</w:t>
            </w:r>
          </w:p>
        </w:tc>
        <w:tc>
          <w:tcPr/>
          <w:p>
            <w:pPr>
              <w:pStyle w:val="Compact"/>
              <w:jc w:val="left"/>
            </w:pPr>
            <w:r>
              <w:t xml:space="preserve">+0.217*** (0.046)</w:t>
            </w:r>
          </w:p>
        </w:tc>
        <w:tc>
          <w:tcPr/>
          <w:p>
            <w:pPr>
              <w:pStyle w:val="Compact"/>
              <w:jc w:val="left"/>
            </w:pPr>
            <w:r>
              <w:t xml:space="preserve">+0.132** (0.049)</w:t>
            </w:r>
          </w:p>
        </w:tc>
        <w:tc>
          <w:tcPr/>
          <w:p>
            <w:pPr>
              <w:pStyle w:val="Compact"/>
              <w:jc w:val="left"/>
            </w:pPr>
            <w:r>
              <w:t xml:space="preserve">+0.129** (0.045)</w:t>
            </w:r>
          </w:p>
        </w:tc>
        <w:tc>
          <w:tcPr/>
          <w:p>
            <w:pPr>
              <w:pStyle w:val="Compact"/>
              <w:jc w:val="left"/>
            </w:pPr>
            <w:r>
              <w:t xml:space="preserve">+0.183*** (0.028)</w:t>
            </w:r>
          </w:p>
        </w:tc>
      </w:tr>
      <w:tr>
        <w:tc>
          <w:tcPr/>
          <w:p>
            <w:pPr>
              <w:pStyle w:val="Compact"/>
              <w:jc w:val="left"/>
            </w:pPr>
            <w:r>
              <w:t xml:space="preserve">DAI_z</w:t>
            </w:r>
          </w:p>
        </w:tc>
        <w:tc>
          <w:tcPr/>
          <w:p>
            <w:pPr>
              <w:pStyle w:val="Compact"/>
              <w:jc w:val="left"/>
            </w:pPr>
            <w:r>
              <w:t xml:space="preserve">+0.177* (0.086)</w:t>
            </w:r>
          </w:p>
        </w:tc>
        <w:tc>
          <w:tcPr/>
          <w:p>
            <w:pPr>
              <w:pStyle w:val="Compact"/>
              <w:jc w:val="left"/>
            </w:pPr>
            <w:r>
              <w:t xml:space="preserve">-0.048 (0.092)</w:t>
            </w:r>
          </w:p>
        </w:tc>
        <w:tc>
          <w:tcPr/>
          <w:p>
            <w:pPr>
              <w:pStyle w:val="Compact"/>
              <w:jc w:val="left"/>
            </w:pPr>
            <w:r>
              <w:t xml:space="preserve">-0.011 (0.073)</w:t>
            </w:r>
          </w:p>
        </w:tc>
        <w:tc>
          <w:tcPr/>
          <w:p>
            <w:pPr>
              <w:pStyle w:val="Compact"/>
              <w:jc w:val="left"/>
            </w:pPr>
            <w:r>
              <w:t xml:space="preserve">+0.032 (0.051)</w:t>
            </w:r>
          </w:p>
        </w:tc>
      </w:tr>
      <w:tr>
        <w:tc>
          <w:tcPr/>
          <w:p>
            <w:pPr>
              <w:pStyle w:val="Compact"/>
              <w:jc w:val="left"/>
            </w:pPr>
            <w:r>
              <w:t xml:space="preserve">FSTS_c × DAI_z</w:t>
            </w:r>
          </w:p>
        </w:tc>
        <w:tc>
          <w:tcPr/>
          <w:p>
            <w:pPr>
              <w:pStyle w:val="Compact"/>
              <w:jc w:val="left"/>
            </w:pPr>
            <w:r>
              <w:t xml:space="preserve">-0.093 (0.401)</w:t>
            </w:r>
          </w:p>
        </w:tc>
        <w:tc>
          <w:tcPr/>
          <w:p>
            <w:pPr>
              <w:pStyle w:val="Compact"/>
              <w:jc w:val="left"/>
            </w:pPr>
            <w:r>
              <w:t xml:space="preserve">-0.300 (0.631)</w:t>
            </w:r>
          </w:p>
        </w:tc>
        <w:tc>
          <w:tcPr/>
          <w:p>
            <w:pPr>
              <w:pStyle w:val="Compact"/>
              <w:jc w:val="left"/>
            </w:pPr>
            <w:r>
              <w:t xml:space="preserve">-0.912* (0.450)</w:t>
            </w:r>
          </w:p>
        </w:tc>
        <w:tc>
          <w:tcPr/>
          <w:p>
            <w:pPr>
              <w:pStyle w:val="Compact"/>
              <w:jc w:val="left"/>
            </w:pPr>
            <w:r>
              <w:t xml:space="preserve">-0.448 (0.285)</w:t>
            </w:r>
          </w:p>
        </w:tc>
      </w:tr>
      <w:tr>
        <w:tc>
          <w:tcPr/>
          <w:p>
            <w:pPr>
              <w:pStyle w:val="Compact"/>
              <w:jc w:val="left"/>
            </w:pPr>
            <w:r>
              <w:t xml:space="preserve">FSTS_c² × DAI_z</w:t>
            </w:r>
          </w:p>
        </w:tc>
        <w:tc>
          <w:tcPr/>
          <w:p>
            <w:pPr>
              <w:pStyle w:val="Compact"/>
              <w:jc w:val="left"/>
            </w:pPr>
            <w:r>
              <w:t xml:space="preserve">-0.019 (0.660)</w:t>
            </w:r>
          </w:p>
        </w:tc>
        <w:tc>
          <w:tcPr/>
          <w:p>
            <w:pPr>
              <w:pStyle w:val="Compact"/>
              <w:jc w:val="left"/>
            </w:pPr>
            <w:r>
              <w:t xml:space="preserve">-0.009 (0.871)</w:t>
            </w:r>
          </w:p>
        </w:tc>
        <w:tc>
          <w:tcPr/>
          <w:p>
            <w:pPr>
              <w:pStyle w:val="Compact"/>
              <w:jc w:val="left"/>
            </w:pPr>
            <w:r>
              <w:t xml:space="preserve">+1.043† (0.633)</w:t>
            </w:r>
          </w:p>
        </w:tc>
        <w:tc>
          <w:tcPr/>
          <w:p>
            <w:pPr>
              <w:pStyle w:val="Compact"/>
              <w:jc w:val="left"/>
            </w:pPr>
            <w:r>
              <w:t xml:space="preserve">+0.460 (0.422)</w:t>
            </w:r>
          </w:p>
        </w:tc>
      </w:tr>
      <w:tr>
        <w:tc>
          <w:tcPr/>
          <w:p>
            <w:pPr>
              <w:pStyle w:val="Compact"/>
              <w:jc w:val="left"/>
            </w:pPr>
            <w:r>
              <w:t xml:space="preserve">N</w:t>
            </w:r>
          </w:p>
        </w:tc>
        <w:tc>
          <w:tcPr/>
          <w:p>
            <w:pPr>
              <w:pStyle w:val="Compact"/>
              <w:jc w:val="left"/>
            </w:pPr>
            <w:r>
              <w:t xml:space="preserve">989</w:t>
            </w:r>
          </w:p>
        </w:tc>
        <w:tc>
          <w:tcPr/>
          <w:p>
            <w:pPr>
              <w:pStyle w:val="Compact"/>
              <w:jc w:val="left"/>
            </w:pPr>
            <w:r>
              <w:t xml:space="preserve">956</w:t>
            </w:r>
          </w:p>
        </w:tc>
        <w:tc>
          <w:tcPr/>
          <w:p>
            <w:pPr>
              <w:pStyle w:val="Compact"/>
              <w:jc w:val="left"/>
            </w:pPr>
            <w:r>
              <w:t xml:space="preserve">1013</w:t>
            </w:r>
          </w:p>
        </w:tc>
        <w:tc>
          <w:tcPr/>
          <w:p>
            <w:pPr>
              <w:pStyle w:val="Compact"/>
              <w:jc w:val="left"/>
            </w:pPr>
            <w:r>
              <w:t xml:space="preserve">2958</w:t>
            </w:r>
          </w:p>
        </w:tc>
      </w:tr>
      <w:tr>
        <w:tc>
          <w:tcPr/>
          <w:p>
            <w:pPr>
              <w:pStyle w:val="Compact"/>
              <w:jc w:val="left"/>
            </w:pPr>
            <w:r>
              <w:t xml:space="preserve">R² (M7)</w:t>
            </w:r>
          </w:p>
        </w:tc>
        <w:tc>
          <w:tcPr/>
          <w:p>
            <w:pPr>
              <w:pStyle w:val="Compact"/>
              <w:jc w:val="left"/>
            </w:pPr>
            <w:r>
              <w:t xml:space="preserve">0.164</w:t>
            </w:r>
          </w:p>
        </w:tc>
        <w:tc>
          <w:tcPr/>
          <w:p>
            <w:pPr>
              <w:pStyle w:val="Compact"/>
              <w:jc w:val="left"/>
            </w:pPr>
            <w:r>
              <w:t xml:space="preserve">0.066</w:t>
            </w:r>
          </w:p>
        </w:tc>
        <w:tc>
          <w:tcPr/>
          <w:p>
            <w:pPr>
              <w:pStyle w:val="Compact"/>
              <w:jc w:val="left"/>
            </w:pPr>
            <w:r>
              <w:t xml:space="preserve">0.154</w:t>
            </w:r>
          </w:p>
        </w:tc>
        <w:tc>
          <w:tcPr/>
          <w:p>
            <w:pPr>
              <w:pStyle w:val="Compact"/>
              <w:jc w:val="left"/>
            </w:pPr>
            <w:r>
              <w:t xml:space="preserve">0.171</w:t>
            </w:r>
          </w:p>
        </w:tc>
      </w:tr>
    </w:tbl>
    <w:p>
      <w:pPr>
        <w:pStyle w:val="BodyText"/>
      </w:pPr>
      <w:r>
        <w:t xml:space="preserve">the inverted-U shape and the DAI moderation patterns are best read as a common curvature</w:t>
      </w:r>
      <w:r>
        <w:t xml:space="preserve"> </w:t>
      </w:r>
      <w:r>
        <w:t xml:space="preserve">with wave-specific magnitudes rather than as cross-period structural shifts in the curvature</w:t>
      </w:r>
      <w:r>
        <w:t xml:space="preserve"> </w:t>
      </w:r>
      <w:r>
        <w:t xml:space="preserve">parameters.</w:t>
      </w:r>
      <w:r>
        <w:t xml:space="preserve"> </w:t>
      </w:r>
      <w:r>
        <w:t xml:space="preserve">Panel G — Sector split (manufacturing versus non-manufacturing).</w:t>
      </w:r>
    </w:p>
    <w:p>
      <w:pPr>
        <w:pStyle w:val="BodyText"/>
      </w:pPr>
      <w:r>
        <w:t xml:space="preserve">To test whether the</w:t>
      </w:r>
    </w:p>
    <w:p>
      <w:pPr>
        <w:pStyle w:val="BodyText"/>
      </w:pPr>
      <w:r>
        <w:t xml:space="preserve">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w:t>
      </w:r>
    </w:p>
    <w:p>
      <w:pPr>
        <w:pStyle w:val="BodyText"/>
      </w:pPr>
      <w:r>
        <w:t xml:space="preserve">manufacturing (FSTS_c β = 0.971, p = .001; FSTS_c</w:t>
      </w:r>
    </w:p>
    <w:p>
      <w:pPr>
        <w:pStyle w:val="BodyText"/>
      </w:pPr>
      <w:r>
        <w:t xml:space="preserve">2 β = -1.883, p &lt; .001) than in non-</w:t>
      </w:r>
    </w:p>
    <w:p>
      <w:pPr>
        <w:pStyle w:val="BodyText"/>
      </w:pPr>
      <w:r>
        <w:t xml:space="preserve">manufacturing (FSTS_c β = 1.615, p = .064, marginal; FSTS_c</w:t>
      </w:r>
    </w:p>
    <w:p>
      <w:pPr>
        <w:pStyle w:val="BodyText"/>
      </w:pPr>
      <w:r>
        <w:t xml:space="preserve">2 β = -2.479, p = .046).</w:t>
      </w:r>
    </w:p>
    <w:p>
      <w:pPr>
        <w:pStyle w:val="BodyText"/>
      </w:pPr>
      <w:r>
        <w:t xml:space="preserve">More substantively, the capability and digital-adoption channels operate primarily in manufacturing.</w:t>
      </w:r>
    </w:p>
    <w:p>
      <w:pPr>
        <w:pStyle w:val="BodyText"/>
      </w:pPr>
      <w:r>
        <w:t xml:space="preserve">In the M7 dual-direct specification, manufacturing firms display a strong TCI_z</w:t>
      </w:r>
    </w:p>
    <w:p>
      <w:pPr>
        <w:pStyle w:val="BodyText"/>
      </w:pPr>
      <w:r>
        <w:t xml:space="preserve">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w:t>
      </w:r>
    </w:p>
    <w:p>
      <w:pPr>
        <w:pStyle w:val="BodyText"/>
      </w:pPr>
      <w:r>
        <w:t xml:space="preserve">2 β = -0.200, p = .660), and the joint M8 test of the</w:t>
      </w:r>
    </w:p>
    <w:p>
      <w:pPr>
        <w:pStyle w:val="BodyText"/>
      </w:pPr>
      <w:r>
        <w:t xml:space="preserve">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w:t>
      </w:r>
    </w:p>
    <w:p>
      <w:pPr>
        <w:pStyle w:val="BodyText"/>
      </w:pPr>
      <w:r>
        <w:t xml:space="preserve">× wave, FSTS_c2 × wave, DAI_z × wave, TCI_z × wave). The joint Wald tests show that</w:t>
      </w:r>
      <w:r>
        <w:t xml:space="preserve"> </w:t>
      </w:r>
      <w:r>
        <w:t xml:space="preserve">only DAI_z × wave is statistically distinguishable from the pooled average (joint p = .016); the</w:t>
      </w:r>
    </w:p>
    <w:p>
      <w:pPr>
        <w:pStyle w:val="BodyText"/>
      </w:pPr>
      <w:r>
        <w:t xml:space="preserve">2 and TCI_z direct-effect cross-wave differences are not statistically separable</w:t>
      </w:r>
      <w:r>
        <w:t xml:space="preserve"> </w:t>
      </w:r>
      <w:r>
        <w:t xml:space="preserve">(all joint p &gt; .25), and the FSTS_c × DAI_z and FSTS_c × DAI_z cross-wave differences</w:t>
      </w:r>
      <w:r>
        <w:t xml:space="preserve"> </w:t>
      </w:r>
      <w:r>
        <w:t xml:space="preserve">FSTS_c, FSTS_c</w:t>
      </w:r>
    </w:p>
    <w:p>
      <w:pPr>
        <w:pStyle w:val="BodyText"/>
      </w:pPr>
      <w:r>
        <w:t xml:space="preserve">are not separable either (joint p &gt; .55). This formal test confirms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Density-around-turning-point check. We also report the within-sample mass of firms in the</w:t>
      </w:r>
      <w:r>
        <w:t xml:space="preserve"> </w:t>
      </w:r>
      <w:r>
        <w:t xml:space="preserve">curvature zone.</w:t>
      </w:r>
    </w:p>
    <w:p>
      <w:pPr>
        <w:pStyle w:val="BodyText"/>
      </w:pPr>
      <w:r>
        <w:t xml:space="preserve">Defining a ±5 percentage-point band around the wave-specific turning point</w:t>
      </w:r>
    </w:p>
    <w:p>
      <w:pPr>
        <w:pStyle w:val="BodyText"/>
      </w:pPr>
      <w:r>
        <w:t xml:space="preserve">(TP),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p>
      <w:pPr>
        <w:pStyle w:val="BodyText"/>
      </w:pPr>
      <w:r>
        <w:t xml:space="preserve">Robustness to Endogeneity and Selection</w:t>
      </w:r>
    </w:p>
    <w:p>
      <w:pPr>
        <w:pStyle w:val="BodyText"/>
      </w:pPr>
      <w:r>
        <w:t xml:space="preserve">Three complementary approaches address selection and endogeneity concerns. Heckman two-step corrections (Panel E) yield insignificant inverse-Mills ratios across all waves (all |λ| &lt; 0.84, p &gt; .25), indicating no detectable selection bias on the exporter subsample. Propensity-score matching (Panel J) corroborates the average H2 and H3 associations without imposing linearity: ATT estimates for website ownership (0.298–0.321, p &lt; .001) and for foreign-technology / certification status (0.609–0.637, p &lt; .001) are substantively consistent with the OLS results.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for instrumented DAI is consistent with an interpretation in which website ownership correlates with productivity through firm characteristics that the instrument does not capture, while the reinforced TCI estimate supports the foreign-capability channel. Oster (2019) δ-stability bounds (assuming R_max = 1.3 × R_controlled) confirm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confirm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confirm that the DAI lifecycle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§5 rely on the pattern across panels and the directional consistency of the focal estimates rather than on the significance of any single robustness panel.</w:t>
      </w:r>
    </w:p>
    <w:p>
      <w:pPr>
        <w:pStyle w:val="BodyText"/>
      </w:pPr>
      <w:r>
        <w:t xml:space="preserve">Low DAI_z (p25)</w:t>
      </w:r>
      <w:r>
        <w:t xml:space="preserve"> </w:t>
      </w:r>
      <w:r>
        <w:t xml:space="preserve">High DAI_z (p75)</w:t>
      </w:r>
    </w:p>
    <w:p>
      <w:pPr>
        <w:pStyle w:val="BodyText"/>
      </w:pPr>
      <w:r>
        <w:t xml:space="preserve">20.5</w:t>
      </w:r>
    </w:p>
    <w:p>
      <w:pPr>
        <w:pStyle w:val="BodyText"/>
      </w:pPr>
      <w:r>
        <w:t xml:space="preserve">19.5</w:t>
      </w:r>
    </w:p>
    <w:p>
      <w:pPr>
        <w:pStyle w:val="BodyText"/>
      </w:pPr>
      <w:r>
        <w:t xml:space="preserve">0.2</w:t>
      </w:r>
    </w:p>
    <w:p>
      <w:pPr>
        <w:pStyle w:val="BodyText"/>
      </w:pPr>
      <w:r>
        <w:t xml:space="preserve">0.4</w:t>
      </w:r>
    </w:p>
    <w:p>
      <w:pPr>
        <w:pStyle w:val="BodyText"/>
      </w:pPr>
      <w:r>
        <w:t xml:space="preserve">0.6</w:t>
      </w:r>
    </w:p>
    <w:p>
      <w:pPr>
        <w:pStyle w:val="BodyText"/>
      </w:pPr>
      <w:r>
        <w:t xml:space="preserve">0.8</w:t>
      </w:r>
    </w:p>
    <w:p>
      <w:pPr>
        <w:pStyle w:val="BodyText"/>
      </w:pPr>
      <w:r>
        <w:t xml:space="preserve">Direct-export intensity (FSTS, raw scale)</w:t>
      </w:r>
    </w:p>
    <w:p>
      <w:pPr>
        <w:pStyle w:val="BodyText"/>
      </w:pPr>
      <w:r>
        <w:t xml:space="preserve">Figure 6: Predicted ln(labour productivity) along the FSTS export-intensity range, 2023 wave (N</w:t>
      </w:r>
    </w:p>
    <w:p>
      <w:pPr>
        <w:pStyle w:val="BodyText"/>
      </w:pPr>
      <w:r>
        <w:t xml:space="preserve">= 1,013), evaluated at the 25th vs 75th percentile of DAI_z. The fitted curves come from the M8</w:t>
      </w:r>
      <w:r>
        <w:t xml:space="preserve"> </w:t>
      </w:r>
      <w:r>
        <w:t xml:space="preserve">specification with HC1 robust standard errors and the focal interaction term FSTS_c × DAI_z =</w:t>
      </w:r>
      <w:r>
        <w:t xml:space="preserve"> </w:t>
      </w:r>
      <w:r>
        <w:t xml:space="preserve">−0.912 (p = .043). At high DAI_z, the productivity-relevant slope of FSTS turns negative more sharply</w:t>
      </w:r>
      <w:r>
        <w:t xml:space="preserve"> </w:t>
      </w:r>
      <w:r>
        <w:t xml:space="preserve">on the right tail of the export-intensity distribution; at low DAI_z, the FSTS curve is flatter. Joint M8</w:t>
      </w:r>
      <w:r>
        <w:t xml:space="preserve"> </w:t>
      </w:r>
      <w:r>
        <w:t xml:space="preserve">test p = .062 (marginal). Source: World Bank Enterprise Surveys 2023; authors’ calculations.</w:t>
      </w:r>
      <w:r>
        <w:t xml:space="preserve"> </w:t>
      </w:r>
      <w:r>
        <w:t xml:space="preserve">Table 3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3: Robustness panels A–K and supplementary checks.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FSTS_c2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 website (kernel 1,085 ATT_DAI = 0.321 (SE 0.043)</w:t>
      </w:r>
      <w:r>
        <w:t xml:space="preserve"> </w:t>
      </w:r>
      <w:r>
        <w:t xml:space="preserve">Robust to algorithm</w:t>
      </w:r>
      <w:r>
        <w:t xml:space="preserve"> </w:t>
      </w:r>
      <w:r>
        <w:t xml:space="preserve">BW 0.06)</w:t>
      </w:r>
      <w:r>
        <w:t xml:space="preserve"> </w:t>
      </w:r>
      <w:r>
        <w:t xml:space="preserve">J. PSM ATT —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 0.61; FSTSc2 −2.21 → −1.17; No sign change; focal findTCI 0.14 → 0.19; DAI 0.07 →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authors’ calculations.</w:t>
      </w:r>
      <w:r>
        <w:t xml:space="preserve"> </w:t>
      </w:r>
      <w:r>
        <w:t xml:space="preserve">Notes.</w:t>
      </w:r>
    </w:p>
    <w:p>
      <w:pPr>
        <w:pStyle w:val="BodyText"/>
      </w:pPr>
      <w:r>
        <w:t xml:space="preserve">Table 4: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w:t>
      </w:r>
    </w:p>
    <w:p>
      <w:pPr>
        <w:pStyle w:val="BodyText"/>
      </w:pPr>
      <w:r>
        <w:t xml:space="preserve">N</w:t>
      </w:r>
    </w:p>
    <w:p>
      <w:pPr>
        <w:pStyle w:val="BodyText"/>
      </w:pPr>
      <w:r>
        <w:t xml:space="preserve">Turning point (raw FSTS)</w:t>
      </w:r>
    </w:p>
    <w:p>
      <w:pPr>
        <w:pStyle w:val="BodyText"/>
      </w:pPr>
      <w:r>
        <w:t xml:space="preserve">95 % delta-method CI</w:t>
      </w:r>
    </w:p>
    <w:p>
      <w:pPr>
        <w:pStyle w:val="BodyText"/>
      </w:pPr>
      <w:r>
        <w:t xml:space="preserve">Lind–Mehlum p</w:t>
      </w:r>
    </w:p>
    <w:p>
      <w:pPr>
        <w:pStyle w:val="BodyText"/>
      </w:pPr>
      <w:r>
        <w:t xml:space="preserve">Vietnam 2009</w:t>
      </w:r>
      <w:r>
        <w:t xml:space="preserve"> </w:t>
      </w:r>
      <w:r>
        <w:t xml:space="preserve">Vietnam 2015</w:t>
      </w:r>
      <w:r>
        <w:t xml:space="preserve"> </w:t>
      </w:r>
      <w:r>
        <w:t xml:space="preserve">Vietnam 2023</w:t>
      </w:r>
      <w:r>
        <w:t xml:space="preserve"> </w:t>
      </w:r>
      <w:r>
        <w:t xml:space="preserve">Vietnam pooled</w:t>
      </w:r>
    </w:p>
    <w:p>
      <w:pPr>
        <w:pStyle w:val="BodyText"/>
      </w:pPr>
      <w:r>
        <w:t xml:space="preserve">989</w:t>
      </w:r>
      <w:r>
        <w:t xml:space="preserve"> </w:t>
      </w:r>
      <w:r>
        <w:t xml:space="preserve">956</w:t>
      </w:r>
      <w:r>
        <w:t xml:space="preserve"> </w:t>
      </w:r>
      <w:r>
        <w:t xml:space="preserve">1,013</w:t>
      </w:r>
      <w:r>
        <w:t xml:space="preserve"> </w:t>
      </w:r>
      <w:r>
        <w:t xml:space="preserve">2,958</w:t>
      </w:r>
    </w:p>
    <w:p>
      <w:pPr>
        <w:pStyle w:val="BodyText"/>
      </w:pPr>
      <w:r>
        <w:t xml:space="preserve">46.2 %</w:t>
      </w:r>
      <w:r>
        <w:t xml:space="preserve"> </w:t>
      </w:r>
      <w:r>
        <w:t xml:space="preserve">39.3 %</w:t>
      </w:r>
      <w:r>
        <w:t xml:space="preserve"> </w:t>
      </w:r>
      <w:r>
        <w:t xml:space="preserve">41.6 %</w:t>
      </w:r>
      <w:r>
        <w:t xml:space="preserve"> </w:t>
      </w:r>
      <w:r>
        <w:t xml:space="preserve">39.7 %</w:t>
      </w:r>
    </w:p>
    <w:p>
      <w:pPr>
        <w:pStyle w:val="BodyText"/>
      </w:pPr>
      <w:r>
        <w:t xml:space="preserve">[37.4 %, 55.1 %]</w:t>
      </w:r>
      <w:r>
        <w:t xml:space="preserve"> </w:t>
      </w:r>
      <w:r>
        <w:t xml:space="preserve">[30.3 %, 48.4 %]</w:t>
      </w:r>
      <w:r>
        <w:t xml:space="preserve"> </w:t>
      </w:r>
      <w:r>
        <w:t xml:space="preserve">[31.7 %, 51.5 %]</w:t>
      </w:r>
      <w:r>
        <w:t xml:space="preserve"> </w:t>
      </w:r>
      <w:r>
        <w:t xml:space="preserve">[34.0 %, 45.5 %]</w:t>
      </w:r>
    </w:p>
    <w:p>
      <w:pPr>
        <w:pStyle w:val="BodyText"/>
      </w:pPr>
      <w:r>
        <w:t xml:space="preserve">.006</w:t>
      </w:r>
      <w:r>
        <w:t xml:space="preserve"> </w:t>
      </w:r>
      <w:r>
        <w:t xml:space="preserve">.009</w:t>
      </w:r>
      <w:r>
        <w:t xml:space="preserve"> </w:t>
      </w:r>
      <w:r>
        <w:t xml:space="preserve">.013</w:t>
      </w:r>
      <w:r>
        <w:t xml:space="preserve"> </w:t>
      </w:r>
      <w:r>
        <w:t xml:space="preserve">&lt; .001</w:t>
      </w:r>
    </w:p>
    <w:p>
      <w:pPr>
        <w:pStyle w:val="BodyText"/>
      </w:pPr>
      <w:r>
        <w:t xml:space="preserve">Turning points are derived from the M2 inverted-U specification (lnLP = β0 + β1 FSTS_c + β2</w:t>
      </w:r>
      <w:r>
        <w:t xml:space="preserve"> </w:t>
      </w:r>
      <w:r>
        <w:t xml:space="preserve">FSTS_c2 + controls + sector FE [+ wave FE in pooled]) and back-transformed to the raw FSTS scale. 95 %</w:t>
      </w:r>
      <w:r>
        <w:t xml:space="preserve"> </w:t>
      </w:r>
      <w:r>
        <w:t xml:space="preserve">confidence intervals use the delta method on the within-sample FSTS_c range. Lind–Mehlum p-values follow</w:t>
      </w:r>
      <w:r>
        <w:t xml:space="preserve"> </w:t>
      </w:r>
      <w:r>
        <w:t xml:space="preserve">the Sasabuchi-style endpoint test for an inverted-U over the observed FSTS range (Lind and Mehlum, 2010).</w:t>
      </w:r>
      <w:r>
        <w:t xml:space="preserve"> </w:t>
      </w:r>
      <w:r>
        <w:t xml:space="preserve">Source: World Bank Enterprise Surveys; authors’ calculations.</w:t>
      </w:r>
      <w:r>
        <w:t xml:space="preserve"> </w:t>
      </w:r>
      <w:r>
        <w:t xml:space="preserve">Notes.</w:t>
      </w:r>
    </w:p>
    <w:bookmarkEnd w:id="41"/>
    <w:bookmarkEnd w:id="42"/>
    <w:bookmarkStart w:id="49" w:name="discussion"/>
    <w:p>
      <w:pPr>
        <w:pStyle w:val="Heading2"/>
      </w:pPr>
      <w:r>
        <w:t xml:space="preserve">5. Discussion</w:t>
      </w:r>
    </w:p>
    <w:bookmarkStart w:id="43" w:name="Xe2732ea692c7a7c44c78ff7ef3dd88538ae3e55"/>
    <w:p>
      <w:pPr>
        <w:pStyle w:val="Heading3"/>
      </w:pPr>
      <w:r>
        <w:t xml:space="preserve">5.1 Reinterpreting digital capability in Vietnam</w:t>
      </w:r>
    </w:p>
    <w:p>
      <w:pPr>
        <w:pStyle w:val="FirstParagraph"/>
      </w:pPr>
      <w:r>
        <w:t xml:space="preserve">The central implication of the findings is that foundational digital adoption in Vietnam should</w:t>
      </w:r>
      <w:r>
        <w:t xml:space="preserve"> </w:t>
      </w:r>
      <w:r>
        <w:t xml:space="preserve">not be interpreted as a universal and temporally stable productivity premium. Although both</w:t>
      </w:r>
      <w:r>
        <w:t xml:space="preserve"> </w:t>
      </w:r>
      <w:r>
        <w:t xml:space="preserve">TCI_z and DAI_z are positive on average in pooled specifications, their empirical roles differ</w:t>
      </w:r>
      <w:r>
        <w:t xml:space="preserve"> </w:t>
      </w:r>
      <w:r>
        <w:t xml:space="preserve">materially across waves and across identification strategies (Vahlne, 2020; Stallkamp and Schotter, 2021). This means that website-based digital adoption is not simply a constant background</w:t>
      </w:r>
      <w:r>
        <w:t xml:space="preserve"> </w:t>
      </w:r>
      <w:r>
        <w:t xml:space="preserve">advantage; it is a context-sensitive and stage-dependent source of performance heterogeneity.</w:t>
      </w:r>
    </w:p>
    <w:p>
      <w:pPr>
        <w:pStyle w:val="BodyText"/>
      </w:pPr>
      <w:r>
        <w:t xml:space="preserve">The negative sign on the FSTS_c × DAI_z interaction in 2023 — where DAI productivity relevance attenuates at higher export intensities —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interpretation helps reconcile the coexistence of positive pooled effects and uneven wavespecific results. The pooled model captures the average tendency for stronger capability to be</w:t>
      </w:r>
      <w:r>
        <w:t xml:space="preserve"> </w:t>
      </w:r>
      <w:r>
        <w:t xml:space="preserve">associated with better performance. The wave-specific models show that this tendency is not</w:t>
      </w:r>
      <w:r>
        <w:t xml:space="preserve"> </w:t>
      </w:r>
      <w:r>
        <w:t xml:space="preserve">equally strong in every phase. The value of digital capability therefore depends on where firms</w:t>
      </w:r>
      <w:r>
        <w:t xml:space="preserve"> </w:t>
      </w:r>
      <w:r>
        <w:t xml:space="preserve">stand in the broader lifecycle of internationalisation and transition.</w:t>
      </w:r>
    </w:p>
    <w:bookmarkEnd w:id="43"/>
    <w:bookmarkStart w:id="44" w:name="X318cb0239560712574cc1011b7a7ed3cd23c87d"/>
    <w:p>
      <w:pPr>
        <w:pStyle w:val="Heading3"/>
      </w:pPr>
      <w:r>
        <w:t xml:space="preserve">5.2 Why the distinction between TCI and DAI matters</w:t>
      </w:r>
    </w:p>
    <w:p>
      <w:pPr>
        <w:pStyle w:val="FirstParagraph"/>
      </w:pPr>
      <w:r>
        <w:t xml:space="preserve">The results strengthen the theoretical case for separating foreign-technology / standards capability from foundational digital adoption.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w:t>
      </w:r>
      <w:r>
        <w:t xml:space="preserve"> </w:t>
      </w:r>
      <w:r>
        <w:t xml:space="preserve">combining c22b with electronic-payment shares (k33, k38) — produces a similarly directioned</w:t>
      </w:r>
      <w:r>
        <w:t xml:space="preserve"> </w:t>
      </w:r>
      <w:r>
        <w:t xml:space="preserve">and marginally significant moderation pattern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supports a more careful approach to digitalisation in international-business research, one that</w:t>
      </w:r>
      <w:r>
        <w:t xml:space="preserve"> </w:t>
      </w:r>
      <w:r>
        <w:t xml:space="preserve">distinguishes between basic digital enablement (easily contaminated by selection on observables)</w:t>
      </w:r>
      <w:r>
        <w:t xml:space="preserve"> </w:t>
      </w:r>
      <w:r>
        <w:t xml:space="preserve">and broader technological depth (more identification-robust), rather than collapsing them into</w:t>
      </w:r>
      <w:r>
        <w:t xml:space="preserve"> </w:t>
      </w:r>
      <w:r>
        <w:t xml:space="preserve">a single label.</w:t>
      </w:r>
    </w:p>
    <w:bookmarkEnd w:id="44"/>
    <w:bookmarkStart w:id="45" w:name="Xd4418cfa1205009d53d455ea67161ca926e7f94"/>
    <w:p>
      <w:pPr>
        <w:pStyle w:val="Heading3"/>
      </w:pPr>
      <w:r>
        <w:t xml:space="preserve">5.3 The significance of the 2015 dip</w:t>
      </w:r>
    </w:p>
    <w:p>
      <w:pPr>
        <w:pStyle w:val="Heading3"/>
      </w:pPr>
      <w:r>
        <w:t xml:space="preserve">Before invoking the macro-infrastructure narrative, it is worth grounding the 2015 null in the micro-structure of the sample itself. As reported in Table 1, the exporter share fell from 28.4% in 2009 to 20.7% in 2015 —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 not merely the macro infrastructure gap —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FirstParagraph"/>
      </w:pPr>
      <w:r>
        <w:t xml:space="preserve">A purely stage-contingency interpretation is not the only reading of the wave-specific DAI pattern. An alternative — and to a degree complementary —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will be needed to disentangle the two channels.</w:t>
      </w:r>
    </w:p>
    <w:bookmarkEnd w:id="45"/>
    <w:bookmarkStart w:id="46" w:name="the-significance-of-the-2015-dip"/>
    <w:p>
      <w:pPr>
        <w:pStyle w:val="FirstParagraph"/>
      </w:pPr>
      <w:r>
        <w:t xml:space="preserve">The 2015 pattern is best interpreted not as an anomaly, but as a wave-specific compression of</w:t>
      </w:r>
      <w:r>
        <w:t xml:space="preserve"> </w:t>
      </w:r>
      <w:r>
        <w:t xml:space="preserve">the foundational digital-adoption channel under transitional infrastructure conditions. It shows</w:t>
      </w:r>
      <w:r>
        <w:t xml:space="preserve"> </w:t>
      </w:r>
      <w:r>
        <w:t xml:space="preserve">that even when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 they are not entered</w:t>
      </w:r>
      <w:r>
        <w:t xml:space="preserve"> </w:t>
      </w:r>
      <w:r>
        <w:t xml:space="preserve">into the regression —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demonstrates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46"/>
    <w:bookmarkStart w:id="47" w:name="managerial-implications"/>
    <w:p>
      <w:pPr>
        <w:pStyle w:val="Heading3"/>
      </w:pPr>
      <w:r>
        <w:t xml:space="preserve">5.4 Managerial implications</w:t>
      </w:r>
    </w:p>
    <w:p>
      <w:pPr>
        <w:pStyle w:val="FirstParagraph"/>
      </w:pPr>
      <w:r>
        <w:t xml:space="preserve">The managerial implication is not that firms should invest less in digitalisation.</w:t>
      </w:r>
    </w:p>
    <w:p>
      <w:pPr>
        <w:pStyle w:val="BodyText"/>
      </w:pPr>
      <w:r>
        <w:t xml:space="preserve">Rather, it</w:t>
      </w:r>
    </w:p>
    <w:p>
      <w:pPr>
        <w:pStyle w:val="BodyText"/>
      </w:pPr>
      <w:r>
        <w:t xml:space="preserve">is that digitalisation should be aligned with organisational readiness and international scale.</w:t>
      </w:r>
      <w:r>
        <w:t xml:space="preserve"> </w:t>
      </w:r>
      <w:r>
        <w:t xml:space="preserve">Foundational digital tools may create value, but the payoff depends on whether those tools are</w:t>
      </w:r>
      <w:r>
        <w:t xml:space="preserve"> </w:t>
      </w:r>
      <w:r>
        <w:t xml:space="preserve">embedded in routines that support export coordination and performance.</w:t>
      </w:r>
      <w:r>
        <w:t xml:space="preserve"> </w:t>
      </w:r>
      <w:r>
        <w:t xml:space="preserve">Managers should also avoid conflating basic digital adoption with deeper technological capability.</w:t>
      </w:r>
    </w:p>
    <w:p>
      <w:pPr>
        <w:pStyle w:val="BodyText"/>
      </w:pPr>
      <w:r>
        <w:t xml:space="preserve">A firm may adopt digital tools without having the learning and upgrading capacity</w:t>
      </w:r>
    </w:p>
    <w:p>
      <w:pPr>
        <w:pStyle w:val="BodyText"/>
      </w:pPr>
      <w:r>
        <w:t xml:space="preserve">needed to sustain performance gains over time.</w:t>
      </w:r>
    </w:p>
    <w:p>
      <w:pPr>
        <w:pStyle w:val="BodyText"/>
      </w:pPr>
      <w:r>
        <w:t xml:space="preserve">Conversely, stronger internal capability may</w:t>
      </w:r>
    </w:p>
    <w:p>
      <w:pPr>
        <w:pStyle w:val="BodyText"/>
      </w:pPr>
      <w:r>
        <w:t xml:space="preserve">allow the firm to convert relatively basic digital adoption into more meaningful outcomes. This</w:t>
      </w:r>
      <w:r>
        <w:t xml:space="preserve"> </w:t>
      </w:r>
      <w:r>
        <w:t xml:space="preserve">distinction is especially important in transitional economies, where firms move through uneven</w:t>
      </w:r>
      <w:r>
        <w:t xml:space="preserve"> </w:t>
      </w:r>
      <w:r>
        <w:t xml:space="preserve">stages of capability development.</w:t>
      </w:r>
    </w:p>
    <w:bookmarkEnd w:id="47"/>
    <w:bookmarkStart w:id="48" w:name="policy-implications"/>
    <w:p>
      <w:pPr>
        <w:pStyle w:val="Heading3"/>
      </w:pPr>
      <w:r>
        <w:t xml:space="preserve">5.6 Policy implications</w:t>
      </w:r>
    </w:p>
    <w:p>
      <w:pPr>
        <w:pStyle w:val="FirstParagraph"/>
      </w:pPr>
      <w:r>
        <w:t xml:space="preserve">We frame the policy reading as tentative considerations rather than directive prescriptions. The</w:t>
      </w:r>
      <w:r>
        <w:t xml:space="preserve"> </w:t>
      </w:r>
      <w:r>
        <w:t xml:space="preserve">associational nature of the evidence, the breadth of the wave-specific heterogeneity, and the</w:t>
      </w:r>
      <w:r>
        <w:t xml:space="preserve"> </w:t>
      </w:r>
      <w:r>
        <w:t xml:space="preserve">single-economy scope all weigh against converting the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 quality certification,</w:t>
      </w:r>
      <w:r>
        <w:t xml:space="preserve"> </w:t>
      </w:r>
      <w:r>
        <w:t xml:space="preserve">absorptive-capacity investment, organisational routines for cross-border coordination — will be</w:t>
      </w:r>
      <w:r>
        <w:t xml:space="preserve"> </w:t>
      </w:r>
      <w:r>
        <w:t xml:space="preserve">more consistent with the pattern that emerges in 2023.</w:t>
      </w:r>
      <w:r>
        <w:t xml:space="preserve"> </w:t>
      </w:r>
      <w:r>
        <w:t xml:space="preserve">Third, the lifecycle reading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lifecycle structure seriously will couple short-window outcome measurement with sustained measurement of the capability and infrastructure environment in which firms operate.</w:t>
      </w:r>
    </w:p>
    <w:bookmarkEnd w:id="48"/>
    <w:bookmarkEnd w:id="49"/>
    <w:bookmarkStart w:id="50" w:name="limitations-and-future-research"/>
    <w:p>
      <w:pPr>
        <w:pStyle w:val="Heading2"/>
      </w:pPr>
      <w:r>
        <w:t xml:space="preserve">6. Limitations and future research</w:t>
      </w:r>
    </w:p>
    <w:p>
      <w:pPr>
        <w:pStyle w:val="FirstParagraph"/>
      </w:pPr>
      <w:r>
        <w:t xml:space="preserve">The findings should be read against five limitations. First and most fundamentally, the WBES</w:t>
      </w:r>
      <w:r>
        <w:t xml:space="preserve"> </w:t>
      </w:r>
      <w:r>
        <w:t xml:space="preserve">microdata are repeated cross-sections rather than a true firm panel. Within-firm change over</w:t>
      </w:r>
      <w:r>
        <w:t xml:space="preserve"> </w:t>
      </w:r>
      <w:r>
        <w:t xml:space="preserve">time cannot be identified, and time-invariant unobserved heterogeneity cannot be netted out at</w:t>
      </w:r>
      <w:r>
        <w:t xml:space="preserve"> </w:t>
      </w:r>
      <w:r>
        <w:t xml:space="preserve">the firm level. The associational language used throughout the paper reflects this constraint and</w:t>
      </w:r>
      <w:r>
        <w:t xml:space="preserve"> </w:t>
      </w:r>
      <w:r>
        <w:t xml:space="preserve">should not be relaxed in any reader’s interpretation of the results.</w:t>
      </w:r>
      <w:r>
        <w:t xml:space="preserve"> </w:t>
      </w:r>
      <w:r>
        <w:t xml:space="preserve">Second, DAI_z captures only a foundational, Tier-1-style layer of digital adoption centred</w:t>
      </w:r>
      <w:r>
        <w:t xml:space="preserve"> </w:t>
      </w:r>
      <w:r>
        <w:t xml:space="preserve">on website presence, rather than digitally integrated organisational capability. The DAI_rich</w:t>
      </w:r>
      <w:r>
        <w:t xml:space="preserve"> </w:t>
      </w:r>
      <w:r>
        <w:t xml:space="preserve">extension for the 2023 wave shows that the conditional pattern survives when richer items are</w:t>
      </w:r>
      <w:r>
        <w:t xml:space="preserve"> </w:t>
      </w:r>
      <w:r>
        <w:t xml:space="preserve">available, but a panel of digitally integrated firms with deeper measurement would tighten the</w:t>
      </w:r>
      <w:r>
        <w:t xml:space="preserve"> </w:t>
      </w:r>
      <w:r>
        <w:t xml:space="preserve">construct further and allow a sharper test of whether deeper digital integration exhibits a more</w:t>
      </w:r>
      <w:r>
        <w:t xml:space="preserve"> </w:t>
      </w:r>
      <w:r>
        <w:t xml:space="preserve">stable productivity channel.</w:t>
      </w:r>
      <w:r>
        <w:t xml:space="preserve"> </w:t>
      </w: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lifecycle pattern documented here may not generalise without</w:t>
      </w:r>
      <w:r>
        <w:t xml:space="preserve"> </w:t>
      </w:r>
      <w:r>
        <w:t xml:space="preserve">modification to economies whose digital infrastructure or export composition follows a different</w:t>
      </w:r>
      <w:r>
        <w:t xml:space="preserve"> </w:t>
      </w:r>
      <w:r>
        <w:t xml:space="preserve">trajectory.</w:t>
      </w:r>
      <w:r>
        <w:t xml:space="preserve"> </w:t>
      </w:r>
      <w:r>
        <w:t xml:space="preserve">Fourth, the cross-wave evidence is uneven in statistical strength.</w:t>
      </w:r>
    </w:p>
    <w:p>
      <w:pPr>
        <w:pStyle w:val="BodyText"/>
      </w:pPr>
      <w:r>
        <w:t xml:space="preserve">The Paternoster et al.</w:t>
      </w:r>
    </w:p>
    <w:p>
      <w:pPr>
        <w:numPr>
          <w:ilvl w:val="0"/>
          <w:numId w:val="1002"/>
        </w:numPr>
        <w:pStyle w:val="Compact"/>
      </w:pPr>
      <w:r>
        <w:t xml:space="preserve">z-tests confirm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lifecycle interpretation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Future work could exploit policy</w:t>
      </w:r>
      <w:r>
        <w:t xml:space="preserve"> </w:t>
      </w:r>
      <w:r>
        <w:t xml:space="preserve">timing — for example, Vietnam’s National Digital Transformation Programme launched in 2020</w:t>
      </w:r>
      <w:r>
        <w:t xml:space="preserve"> </w:t>
      </w:r>
      <w:r>
        <w:t xml:space="preserve">— for sharper identification of the digital channel through a policy-evaluation design rather than</w:t>
      </w:r>
      <w:r>
        <w:t xml:space="preserve"> </w:t>
      </w:r>
      <w:r>
        <w:t xml:space="preserve">a cross-wave comparison.</w:t>
      </w:r>
      <w:r>
        <w:t xml:space="preserve"> </w:t>
      </w:r>
      <w:r>
        <w:t xml:space="preserve">Fifth, the sector fixed effects in the main models are intentionally broad to keep the crosswave specification comparable.</w:t>
      </w:r>
    </w:p>
    <w:p>
      <w:pPr>
        <w:pStyle w:val="FirstParagraph"/>
      </w:pPr>
      <w:r>
        <w:t xml:space="preserve">Section 4.5 Panel G addresses one natural extension by re-</w:t>
      </w:r>
    </w:p>
    <w:p>
      <w:pPr>
        <w:pStyle w:val="BodyText"/>
      </w:pPr>
      <w:r>
        <w:t xml:space="preserve">estimating the pooled M2 / M7 / M8 specifications on manufacturing (sector1 ∈ {1, 2, 3}; N =</w:t>
      </w:r>
      <w:r>
        <w:t xml:space="preserve"> </w:t>
      </w:r>
      <w:r>
        <w:t xml:space="preserve">1,854) versus non-manufacturing (sector1 ∈ {4, 5, 6, 7}; N = 1,104) subsets, and shows that the</w:t>
      </w:r>
      <w:r>
        <w:t xml:space="preserve"> </w:t>
      </w:r>
      <w:r>
        <w:t xml:space="preserve">digital-adoption channel operates primarily in manufacturing while the technological-capability</w:t>
      </w:r>
      <w:r>
        <w:t xml:space="preserve"> </w:t>
      </w:r>
      <w:r>
        <w:t xml:space="preserve">channel is present in both. Finer industry-level mechanisms — for example, contrasting digitally</w:t>
      </w:r>
      <w:r>
        <w:t xml:space="preserve"> </w:t>
      </w:r>
      <w:r>
        <w:t xml:space="preserve">intensive services with traditional services, or contrasting export-oriented with domestically</w:t>
      </w:r>
      <w:r>
        <w:t xml:space="preserve"> </w:t>
      </w:r>
      <w:r>
        <w:t xml:space="preserve">oriented manufacturing sub-sectors —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 negative at high export intensity under Tier-1-only adoption —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§2.1.</w:t>
      </w:r>
    </w:p>
    <w:bookmarkEnd w:id="50"/>
    <w:bookmarkStart w:id="51" w:name="conclusion"/>
    <w:p>
      <w:pPr>
        <w:pStyle w:val="Heading2"/>
      </w:pPr>
      <w:r>
        <w:t xml:space="preserve">7. Conclusion</w:t>
      </w:r>
    </w:p>
    <w:p>
      <w:pPr>
        <w:pStyle w:val="FirstParagraph"/>
      </w:pPr>
      <w:r>
        <w:t xml:space="preserve">This study revisits the internationalisation–performance relationship in Vietnam by distinguishing foreign-technology / standards capability from foundational digital adoption and by comparing pooled with wave-specific evidence.</w:t>
      </w:r>
    </w:p>
    <w:p>
      <w:pPr>
        <w:pStyle w:val="BodyText"/>
      </w:pPr>
      <w:r>
        <w:t xml:space="preserve">The findings show that the internationalisation–</w:t>
      </w:r>
    </w:p>
    <w:p>
      <w:pPr>
        <w:pStyle w:val="BodyText"/>
      </w:pPr>
      <w:r>
        <w:t xml:space="preserve">performance relationship is non-monotonic in the full sample, but that this pattern is driven</w:t>
      </w:r>
      <w:r>
        <w:t xml:space="preserve"> </w:t>
      </w:r>
      <w:r>
        <w:t xml:space="preserve">primarily by a participation-and-intensity structure rather than by strong within-exporter curvature alone.</w:t>
      </w:r>
      <w:r>
        <w:t xml:space="preserve"> </w:t>
      </w:r>
      <w:r>
        <w:t xml:space="preserve">The results also show that the two capability domains should not be treated as interchangeable. Technological capability is comparatively stable and identification-robust across specifications, whereas foundational digital adoption is more wave-sensitive and only exhibits withinsample detectable moderation in 2023. The broader implication is that the productivity relevance</w:t>
      </w:r>
      <w:r>
        <w:t xml:space="preserve"> </w:t>
      </w:r>
      <w:r>
        <w:t xml:space="preserve">of basic digital adoption in a transitional economy is real but uneven, and that pooled averages</w:t>
      </w:r>
      <w:r>
        <w:t xml:space="preserve"> </w:t>
      </w:r>
      <w:r>
        <w:t xml:space="preserve">can conceal important temporal heterogeneity in when and how digital adoption matters.</w:t>
      </w:r>
    </w:p>
    <w:bookmarkEnd w:id="51"/>
    <w:bookmarkStart w:id="52" w:name="conflict-of-interest"/>
    <w:p>
      <w:pPr>
        <w:pStyle w:val="Heading2"/>
      </w:pPr>
      <w:r>
        <w:t xml:space="preserve">Conflict of interest</w:t>
      </w:r>
    </w:p>
    <w:p>
      <w:pPr>
        <w:pStyle w:val="FirstParagraph"/>
      </w:pPr>
      <w:r>
        <w:t xml:space="preserve">The authors declare no conflict of interest.</w:t>
      </w:r>
    </w:p>
    <w:bookmarkEnd w:id="52"/>
    <w:bookmarkStart w:id="53"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53"/>
    <w:bookmarkStart w:id="54"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54"/>
    <w:bookmarkStart w:id="5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55"/>
    <w:bookmarkStart w:id="56" w:name="acknowledgements"/>
    <w:p>
      <w:pPr>
        <w:pStyle w:val="Heading2"/>
      </w:pPr>
      <w:r>
        <w:t xml:space="preserve">Acknowledgements</w:t>
      </w:r>
    </w:p>
    <w:p>
      <w:pPr>
        <w:pStyle w:val="FirstParagraph"/>
      </w:pPr>
      <w:r>
        <w:t xml:space="preserve">This study uses data from the World Bank Enterprise Surveys. We thank the Enterprise Analysis</w:t>
      </w:r>
      <w:r>
        <w:t xml:space="preserve"> </w:t>
      </w:r>
      <w:r>
        <w:t xml:space="preserve">Unit of the Development Economics Global Indicators Group of the World Bank for providing</w:t>
      </w:r>
      <w:r>
        <w:t xml:space="preserve"> </w:t>
      </w:r>
      <w:r>
        <w:t xml:space="preserve">access to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56"/>
    <w:bookmarkStart w:id="57"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1),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3 panels A–D + G), tables/selection_checks.csv (Heckman / control function), and tables/table_paternoster.csv</w:t>
      </w:r>
      <w:r>
        <w:t xml:space="preserve"> </w:t>
      </w:r>
      <w:r>
        <w:t xml:space="preserve">(cross-wave z-tests). Replication package and instructions: see p4_vietnam/README.md.</w:t>
      </w:r>
    </w:p>
    <w:p>
      <w:r>
        <w:pict>
          <v:rect style="width:0;height:1.5pt" o:hralign="center" o:hrstd="t" o:hr="t"/>
        </w:pict>
      </w:r>
    </w:p>
    <w:bookmarkEnd w:id="57"/>
    <w:bookmarkStart w:id="76" w:name="figures"/>
    <w:p>
      <w:pPr>
        <w:pStyle w:val="Heading2"/>
      </w:pPr>
      <w:r>
        <w:t xml:space="preserve">Figures</w:t>
      </w:r>
    </w:p>
    <w:p>
      <w:pPr>
        <w:pStyle w:val="CaptionedFigure"/>
      </w:pPr>
      <w:r>
        <w:drawing>
          <wp:inline>
            <wp:extent cx="3810000" cy="2540000"/>
            <wp:effectExtent b="0" l="0" r="0" t="0"/>
            <wp:docPr descr="Figure 1: Conceptual model — TCI, DAI, and export intensity as determinants of firm performance (Vietnam, 3-wave)" title="" id="59" name="Picture"/>
            <a:graphic>
              <a:graphicData uri="http://schemas.openxmlformats.org/drawingml/2006/picture">
                <pic:pic>
                  <pic:nvPicPr>
                    <pic:cNvPr descr="figures/p4_vietnam/figure_1_conceptual_model.png" id="60" name="Picture"/>
                    <pic:cNvPicPr>
                      <a:picLocks noChangeArrowheads="1" noChangeAspect="1"/>
                    </pic:cNvPicPr>
                  </pic:nvPicPr>
                  <pic:blipFill>
                    <a:blip r:embed="rId5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1: Conceptual model — TCI, DAI, and export intensity as determinants of firm performance (Vietnam, 3-wave)</w:t>
      </w:r>
    </w:p>
    <w:p>
      <w:pPr>
        <w:pStyle w:val="BodyText"/>
      </w:pPr>
      <w:r>
        <w:rPr>
          <w:iCs/>
          <w:i/>
        </w:rPr>
        <w:t xml:space="preserve">Figure 1.</w:t>
      </w:r>
      <w:r>
        <w:t xml:space="preserve"> </w:t>
      </w:r>
      <w:r>
        <w:t xml:space="preserve">Conceptual model. Export intensity (FSTS, FSTS²) is the independent variable; ln(labour productivity) is the dependent variable. TCI_z (technological capability) enters as a direct-effect moderator (H2, H3); DAI_z (digital adoption) enters as a direct-effect moderator (H4) with stage-contingent interaction in M8. Vietnam WBES 2009/2015/2023, N = 989/956/1,013.</w:t>
      </w:r>
    </w:p>
    <w:p>
      <w:pPr>
        <w:pStyle w:val="CaptionedFigure"/>
      </w:pPr>
      <w:r>
        <w:drawing>
          <wp:inline>
            <wp:extent cx="3810000" cy="2540000"/>
            <wp:effectExtent b="0" l="0" r="0" t="0"/>
            <wp:docPr descr="Figure 2a: Wave 2009 — predicted ln(labour productivity) vs FSTS" title="" id="62" name="Picture"/>
            <a:graphic>
              <a:graphicData uri="http://schemas.openxmlformats.org/drawingml/2006/picture">
                <pic:pic>
                  <pic:nvPicPr>
                    <pic:cNvPr descr="figures/p4_vietnam/figure_2a.png" id="63" name="Picture"/>
                    <pic:cNvPicPr>
                      <a:picLocks noChangeArrowheads="1" noChangeAspect="1"/>
                    </pic:cNvPicPr>
                  </pic:nvPicPr>
                  <pic:blipFill>
                    <a:blip r:embed="rId6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2a: Wave 2009 — predicted ln(labour productivity) vs FSTS</w:t>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CaptionedFigure"/>
      </w:pPr>
      <w:r>
        <w:drawing>
          <wp:inline>
            <wp:extent cx="3810000" cy="2540000"/>
            <wp:effectExtent b="0" l="0" r="0" t="0"/>
            <wp:docPr descr="Figure 2b: Wave 2015 — predicted ln(labour productivity) vs FSTS" title="" id="65" name="Picture"/>
            <a:graphic>
              <a:graphicData uri="http://schemas.openxmlformats.org/drawingml/2006/picture">
                <pic:pic>
                  <pic:nvPicPr>
                    <pic:cNvPr descr="figures/p4_vietnam/figure_2b.png" id="66" name="Picture"/>
                    <pic:cNvPicPr>
                      <a:picLocks noChangeArrowheads="1" noChangeAspect="1"/>
                    </pic:cNvPicPr>
                  </pic:nvPicPr>
                  <pic:blipFill>
                    <a:blip r:embed="rId6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2b: Wave 2015 — predicted ln(labour productivity) vs FSTS</w:t>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CaptionedFigure"/>
      </w:pPr>
      <w:r>
        <w:drawing>
          <wp:inline>
            <wp:extent cx="3810000" cy="2540000"/>
            <wp:effectExtent b="0" l="0" r="0" t="0"/>
            <wp:docPr descr="Figure 2c: Wave 2023 — predicted ln(labour productivity) vs FSTS" title="" id="68" name="Picture"/>
            <a:graphic>
              <a:graphicData uri="http://schemas.openxmlformats.org/drawingml/2006/picture">
                <pic:pic>
                  <pic:nvPicPr>
                    <pic:cNvPr descr="figures/p4_vietnam/figure_2c.png" id="69" name="Picture"/>
                    <pic:cNvPicPr>
                      <a:picLocks noChangeArrowheads="1" noChangeAspect="1"/>
                    </pic:cNvPicPr>
                  </pic:nvPicPr>
                  <pic:blipFill>
                    <a:blip r:embed="rId67"/>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2c: Wave 2023 — predicted ln(labour productivity) vs FSTS</w:t>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CaptionedFigure"/>
      </w:pPr>
      <w:r>
        <w:drawing>
          <wp:inline>
            <wp:extent cx="3810000" cy="2540000"/>
            <wp:effectExtent b="0" l="0" r="0" t="0"/>
            <wp:docPr descr="Figure 2d: Pooled (2009+2015+2023) — predicted ln(labour productivity) vs FSTS" title="" id="71" name="Picture"/>
            <a:graphic>
              <a:graphicData uri="http://schemas.openxmlformats.org/drawingml/2006/picture">
                <pic:pic>
                  <pic:nvPicPr>
                    <pic:cNvPr descr="figures/p4_vietnam/figure_2d.png" id="72" name="Picture"/>
                    <pic:cNvPicPr>
                      <a:picLocks noChangeArrowheads="1" noChangeAspect="1"/>
                    </pic:cNvPicPr>
                  </pic:nvPicPr>
                  <pic:blipFill>
                    <a:blip r:embed="rId7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2d: Pooled (2009+2015+2023) — predicted ln(labour productivity) vs FSTS</w:t>
      </w:r>
    </w:p>
    <w:p>
      <w:pPr>
        <w:pStyle w:val="BodyText"/>
      </w:pPr>
      <w:r>
        <w:rPr>
          <w:iCs/>
          <w:i/>
        </w:rPr>
        <w:t xml:space="preserve">Figure 2d.</w:t>
      </w:r>
      <w:r>
        <w:t xml:space="preserve"> </w:t>
      </w:r>
      <w:r>
        <w:t xml:space="preserve">Predicted ln(labour productivity) as a function of FSTS for the pooled sample (M2). Turning point ≈ 40% FSTS (Lind-Mehlum p &lt; .001).</w:t>
      </w:r>
    </w:p>
    <w:p>
      <w:pPr>
        <w:pStyle w:val="CaptionedFigure"/>
      </w:pPr>
      <w:r>
        <w:drawing>
          <wp:inline>
            <wp:extent cx="3810000" cy="2540000"/>
            <wp:effectExtent b="0" l="0" r="0" t="0"/>
            <wp:docPr descr="Figure 3: Moderator marginal effects — TCI and DAI interactions with FSTS (Vietnam)" title="" id="74" name="Picture"/>
            <a:graphic>
              <a:graphicData uri="http://schemas.openxmlformats.org/drawingml/2006/picture">
                <pic:pic>
                  <pic:nvPicPr>
                    <pic:cNvPr descr="figures/p4_vietnam/figure_3_moderator_marginals.png" id="75" name="Picture"/>
                    <pic:cNvPicPr>
                      <a:picLocks noChangeArrowheads="1" noChangeAspect="1"/>
                    </pic:cNvPicPr>
                  </pic:nvPicPr>
                  <pic:blipFill>
                    <a:blip r:embed="rId7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Figure 3: Moderator marginal effects — TCI and DAI interactions with FSTS (Vietnam)</w:t>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w:t>
      </w:r>
    </w:p>
    <w:bookmarkEnd w:id="76"/>
    <w:bookmarkStart w:id="77" w:name="references"/>
    <w:p>
      <w:pPr>
        <w:pStyle w:val="Heading2"/>
      </w:pPr>
      <w:r>
        <w:t xml:space="preserve">References</w:t>
      </w:r>
    </w:p>
    <w:p>
      <w:pPr>
        <w:pStyle w:val="FirstParagraph"/>
      </w:pPr>
      <w:r>
        <w:t xml:space="preserve">Aguinis, H., Hill, N. S., and Bailey, J. R. (2021). Best practices in data collection and preparation: Recommendations for reviewers, editors, and authors. Organizational Research Methods,</w:t>
      </w:r>
      <w:r>
        <w:t xml:space="preserve"> </w:t>
      </w:r>
      <w:r>
        <w:t xml:space="preserve">24(4):678–693.</w:t>
      </w:r>
      <w:r>
        <w:t xml:space="preserve"> </w:t>
      </w:r>
      <w:r>
        <w:t xml:space="preserve">Antonakis, J., Bendahan, S., Jacquart, P., and Lalive, R. (2010). On making causal claims: A</w:t>
      </w:r>
      <w:r>
        <w:t xml:space="preserve"> </w:t>
      </w:r>
      <w:r>
        <w:t xml:space="preserve">review and recommendations. The Leadership Quarterly, 21(6):1086–1120.</w:t>
      </w:r>
      <w:r>
        <w:t xml:space="preserve"> </w:t>
      </w:r>
      <w:r>
        <w:t xml:space="preserve">Banalieva, E. R. and Dhanaraj, C. (2019). Internalization theory for the digital economy. Journal</w:t>
      </w:r>
    </w:p>
    <w:p>
      <w:pPr>
        <w:pStyle w:val="BodyText"/>
      </w:pPr>
      <w:r>
        <w:t xml:space="preserve">of International Business Studies, 50(8):1372–1387.</w:t>
      </w:r>
      <w:r>
        <w:t xml:space="preserve"> </w:t>
      </w:r>
      <w:r>
        <w:t xml:space="preserve">Bernard, A. B., Jensen, J. B., Redding, S. J., and Schott, P. K. (2007). Firms in international</w:t>
      </w:r>
      <w:r>
        <w:t xml:space="preserve"> </w:t>
      </w:r>
      <w:r>
        <w:t xml:space="preserve">trade. Journal of Economic Perspectives, 21(3):105–130.</w:t>
      </w:r>
      <w:r>
        <w:t xml:space="preserve"> </w:t>
      </w:r>
      <w:r>
        <w:t xml:space="preserve">Bharadwaj, A., El Sawy, O. A., Pavlou, P. A., and Venkatraman, N. (2013). Digital business</w:t>
      </w:r>
      <w:r>
        <w:t xml:space="preserve"> </w:t>
      </w:r>
      <w:r>
        <w:t xml:space="preserve">strategy: Toward a next generation of insights. MIS Quarterly, 37(2):471–482.</w:t>
      </w:r>
      <w:r>
        <w:t xml:space="preserve"> </w:t>
      </w:r>
      <w:r>
        <w:t xml:space="preserve">Brouthers, K. D., Geisser, K. D., and Rothlauf, F. (2016). Explaining the internationalization</w:t>
      </w:r>
      <w:r>
        <w:t xml:space="preserve"> </w:t>
      </w:r>
      <w:r>
        <w:t xml:space="preserve">of ibusiness firms. Journal of International Business Studies, 47(5):513–534.</w:t>
      </w:r>
    </w:p>
    <w:p>
      <w:pPr>
        <w:pStyle w:val="BodyText"/>
      </w:pPr>
      <w:r>
        <w:t xml:space="preserve">Brynjolfsson, E., Rock, D., and Syverson, C. (2021). The productivity J-curve: How intangibles</w:t>
      </w:r>
      <w:r>
        <w:t xml:space="preserve"> </w:t>
      </w:r>
      <w:r>
        <w:t xml:space="preserve">complement general purpose technologies.</w:t>
      </w:r>
    </w:p>
    <w:p>
      <w:pPr>
        <w:pStyle w:val="BodyText"/>
      </w:pPr>
      <w:r>
        <w:t xml:space="preserve">American Economic Journal: Macroeconomics,</w:t>
      </w:r>
    </w:p>
    <w:p>
      <w:pPr>
        <w:pStyle w:val="BodyText"/>
      </w:pPr>
      <w:r>
        <w:t xml:space="preserve">13(1):333–372.</w:t>
      </w:r>
      <w:r>
        <w:t xml:space="preserve"> </w:t>
      </w:r>
      <w:r>
        <w:t xml:space="preserve">Certo, S. T., Busenbark, J. R., Woo, H.-s., and Semadeni, M. (2016).</w:t>
      </w:r>
      <w:r>
        <w:t xml:space="preserve"> </w:t>
      </w:r>
      <w:r>
        <w:t xml:space="preserve">and Heckman models in strategic management research.</w:t>
      </w:r>
    </w:p>
    <w:p>
      <w:pPr>
        <w:pStyle w:val="BodyText"/>
      </w:pPr>
      <w:r>
        <w:t xml:space="preserve">Sample selection bias</w:t>
      </w:r>
    </w:p>
    <w:p>
      <w:pPr>
        <w:pStyle w:val="BodyText"/>
      </w:pPr>
      <w:r>
        <w:t xml:space="preserve">Strategic Management Journal,</w:t>
      </w:r>
    </w:p>
    <w:p>
      <w:pPr>
        <w:pStyle w:val="BodyText"/>
      </w:pPr>
      <w:r>
        <w:t xml:space="preserve">37(13):2639–2657.</w:t>
      </w:r>
      <w:r>
        <w:t xml:space="preserve"> </w:t>
      </w:r>
      <w:r>
        <w:t xml:space="preserve">Cohen, W. M. and Levinthal, D. A. (1990). Absorptive capacity: A new perspective on learning</w:t>
      </w:r>
      <w:r>
        <w:t xml:space="preserve"> </w:t>
      </w:r>
      <w:r>
        <w:t xml:space="preserve">and innovation. Administrative Science Quarterly, 35(1):128–152.</w:t>
      </w:r>
      <w:r>
        <w:t xml:space="preserve"> </w:t>
      </w:r>
      <w:r>
        <w:t xml:space="preserve">Contractor, F. J. (2007).</w:t>
      </w:r>
    </w:p>
    <w:p>
      <w:pPr>
        <w:pStyle w:val="BodyText"/>
      </w:pPr>
      <w:r>
        <w:t xml:space="preserve">Is international business good for companies?</w:t>
      </w:r>
    </w:p>
    <w:p>
      <w:pPr>
        <w:pStyle w:val="BodyText"/>
      </w:pPr>
      <w:r>
        <w:t xml:space="preserve">The evolutionary or</w:t>
      </w:r>
    </w:p>
    <w:p>
      <w:pPr>
        <w:pStyle w:val="BodyText"/>
      </w:pPr>
      <w:r>
        <w:t xml:space="preserve">multi-stage theory of internationalization vs. the transaction cost perspective.</w:t>
      </w:r>
    </w:p>
    <w:p>
      <w:pPr>
        <w:pStyle w:val="BodyText"/>
      </w:pPr>
      <w:r>
        <w:t xml:space="preserve">Management</w:t>
      </w:r>
    </w:p>
    <w:p>
      <w:pPr>
        <w:pStyle w:val="BodyText"/>
      </w:pPr>
      <w:r>
        <w:t xml:space="preserve">International Review, 47(3):453–475.</w:t>
      </w:r>
      <w:r>
        <w:t xml:space="preserve"> </w:t>
      </w:r>
      <w:r>
        <w:t xml:space="preserve">Coviello, N., Kano, L., and Liesch, P. W. (2017). Adapting the Uppsala model to a modern world:</w:t>
      </w:r>
      <w:r>
        <w:t xml:space="preserve"> </w:t>
      </w:r>
      <w:r>
        <w:t xml:space="preserve">Macro-context and microfoundations. Journal of International Business Studies, 48(9):1151–</w:t>
      </w:r>
      <w:r>
        <w:t xml:space="preserve"> </w:t>
      </w:r>
      <w:r>
        <w:t xml:space="preserve">1164.</w:t>
      </w:r>
      <w:r>
        <w:t xml:space="preserve"> </w:t>
      </w:r>
      <w:r>
        <w:t xml:space="preserve">Cuervo-Cazurra,</w:t>
      </w:r>
    </w:p>
    <w:p>
      <w:pPr>
        <w:pStyle w:val="BodyText"/>
      </w:pPr>
      <w:r>
        <w:t xml:space="preserve">A. and Genc,</w:t>
      </w:r>
    </w:p>
    <w:p>
      <w:pPr>
        <w:pStyle w:val="BodyText"/>
      </w:pPr>
      <w:r>
        <w:t xml:space="preserve">M. (2008).</w:t>
      </w:r>
    </w:p>
    <w:p>
      <w:pPr>
        <w:pStyle w:val="BodyText"/>
      </w:pPr>
      <w:r>
        <w:t xml:space="preserve">Transforming disadvantages into advantages:</w:t>
      </w:r>
    </w:p>
    <w:p>
      <w:pPr>
        <w:pStyle w:val="BodyText"/>
      </w:pPr>
      <w:r>
        <w:t xml:space="preserve">Developing-country MNEs in the least developed countries.</w:t>
      </w:r>
    </w:p>
    <w:p>
      <w:pPr>
        <w:pStyle w:val="BodyText"/>
      </w:pPr>
      <w:r>
        <w:t xml:space="preserve">Journal of International Busi-</w:t>
      </w:r>
    </w:p>
    <w:p>
      <w:pPr>
        <w:pStyle w:val="BodyText"/>
      </w:pPr>
      <w:r>
        <w:t xml:space="preserve">ness Studies, 39(6):957–979.</w:t>
      </w:r>
      <w:r>
        <w:t xml:space="preserve"> </w:t>
      </w:r>
      <w:r>
        <w:t xml:space="preserve">Eisenhardt, K. M. and Martin, J. A. (2000). Dynamic capabilities: What are they?</w:t>
      </w:r>
    </w:p>
    <w:p>
      <w:pPr>
        <w:pStyle w:val="BodyText"/>
      </w:pPr>
      <w:r>
        <w:t xml:space="preserve">Strategic</w:t>
      </w:r>
    </w:p>
    <w:p>
      <w:pPr>
        <w:pStyle w:val="BodyText"/>
      </w:pPr>
      <w:r>
        <w:t xml:space="preserve">Management Journal, 21(10–11):1105–1121.</w:t>
      </w:r>
      <w:r>
        <w:t xml:space="preserve"> </w:t>
      </w:r>
      <w:r>
        <w:t xml:space="preserve">Goldfarb, A. and Tucker, C. (2019). Digital economics. Journal of Economic Literature, 57(1):3–</w:t>
      </w:r>
      <w:r>
        <w:t xml:space="preserve"> </w:t>
      </w:r>
      <w:r>
        <w:t xml:space="preserve">43.</w:t>
      </w:r>
      <w:r>
        <w:t xml:space="preserve"> </w:t>
      </w:r>
      <w:r>
        <w:t xml:space="preserve">Hanelt, A., Bohnsack, R., Marz, D., and Antunes Marante, C. (2021). A systematic review of the</w:t>
      </w:r>
      <w:r>
        <w:t xml:space="preserve"> </w:t>
      </w:r>
      <w:r>
        <w:t xml:space="preserve">literature on digital transformation: Insights and implications for strategy and organizational</w:t>
      </w:r>
      <w:r>
        <w:t xml:space="preserve"> </w:t>
      </w:r>
      <w:r>
        <w:t xml:space="preserve">change. Journal of Management Studies, 58(5):1159–1197.</w:t>
      </w:r>
      <w:r>
        <w:t xml:space="preserve"> </w:t>
      </w:r>
      <w:r>
        <w:t xml:space="preserve">Heckman, J. J. (1979). Sample selection bias as a specification error. Econometrica, 47(1):153–</w:t>
      </w:r>
      <w:r>
        <w:t xml:space="preserve"> </w:t>
      </w:r>
      <w:r>
        <w:t xml:space="preserve">161.</w:t>
      </w:r>
      <w:r>
        <w:t xml:space="preserve"> </w:t>
      </w:r>
      <w:r>
        <w:t xml:space="preserve">Hennart, J.-F. (2007). The theoretical rationale for a multinationality–performance relationship.</w:t>
      </w:r>
    </w:p>
    <w:p>
      <w:pPr>
        <w:pStyle w:val="BodyText"/>
      </w:pPr>
      <w:r>
        <w:t xml:space="preserve">Management International Review, 47(3):423–452.</w:t>
      </w:r>
      <w:r>
        <w:t xml:space="preserve"> </w:t>
      </w:r>
      <w:r>
        <w:t xml:space="preserve">Hennart, J.-F. (2011).</w:t>
      </w:r>
    </w:p>
    <w:p>
      <w:pPr>
        <w:pStyle w:val="BodyText"/>
      </w:pPr>
      <w:r>
        <w:t xml:space="preserve">A theoretical assessment of the empirical literature on the impact of</w:t>
      </w:r>
    </w:p>
    <w:p>
      <w:pPr>
        <w:pStyle w:val="BodyText"/>
      </w:pPr>
      <w:r>
        <w:t xml:space="preserve">multinationality on performance. Global Strategy Journal, 1(1–2):135–151.</w:t>
      </w:r>
      <w:r>
        <w:t xml:space="preserve"> </w:t>
      </w:r>
      <w:r>
        <w:t xml:space="preserve">Karna, A., Richter, A., and Riesenkampff, E. (2016). Revisiting the role of the environment in</w:t>
      </w:r>
      <w:r>
        <w:t xml:space="preserve"> </w:t>
      </w:r>
      <w:r>
        <w:t xml:space="preserve">the capabilities–financial performance relationship: A meta-analysis.</w:t>
      </w:r>
    </w:p>
    <w:p>
      <w:pPr>
        <w:pStyle w:val="BodyText"/>
      </w:pPr>
      <w:r>
        <w:t xml:space="preserve">Strategic Management</w:t>
      </w:r>
    </w:p>
    <w:p>
      <w:pPr>
        <w:pStyle w:val="BodyText"/>
      </w:pPr>
      <w:r>
        <w:t xml:space="preserve">Journal, 37(6):1154–1173.</w:t>
      </w:r>
      <w:r>
        <w:t xml:space="preserve"> </w:t>
      </w:r>
      <w:r>
        <w:t xml:space="preserve">Knight, G. A. and Liesch, P. W. (2016). Internationalization: From incremental to born global.</w:t>
      </w:r>
    </w:p>
    <w:p>
      <w:pPr>
        <w:pStyle w:val="BodyText"/>
      </w:pPr>
      <w:r>
        <w:t xml:space="preserve">Journal of World Business, 51(1):93–102.</w:t>
      </w:r>
    </w:p>
    <w:p>
      <w:pPr>
        <w:pStyle w:val="BodyText"/>
      </w:pPr>
      <w:r>
        <w:t xml:space="preserve">Lall, S. (1992). Technological capabilities and industrialization. World Development, 20(2):165–</w:t>
      </w:r>
      <w:r>
        <w:t xml:space="preserve"> </w:t>
      </w:r>
      <w:r>
        <w:t xml:space="preserve">186.</w:t>
      </w:r>
      <w:r>
        <w:t xml:space="preserve"> </w:t>
      </w:r>
      <w:r>
        <w:t xml:space="preserve">Lind, J. T. and Mehlum, H. (2010). With or without U? The appropriate test for a U-shaped</w:t>
      </w:r>
      <w:r>
        <w:t xml:space="preserve"> </w:t>
      </w:r>
      <w:r>
        <w:t xml:space="preserve">relationship. Oxford Bulletin of Economics and Statistics, 72(1):109–118.</w:t>
      </w:r>
      <w:r>
        <w:t xml:space="preserve"> </w:t>
      </w:r>
      <w:r>
        <w:t xml:space="preserve">Lu, J. W. and Beamish, P. W. (2004). International diversification and firm performance: The</w:t>
      </w:r>
      <w:r>
        <w:t xml:space="preserve"> </w:t>
      </w:r>
      <w:r>
        <w:t xml:space="preserve">S-curve hypothesis. Academy of Management Journal, 47(4):598–609.</w:t>
      </w:r>
      <w:r>
        <w:t xml:space="preserve"> </w:t>
      </w:r>
      <w:r>
        <w:t xml:space="preserve">Marano, V., Arregle, J.-L., Hitt, M. A., Spadafora, E., and van Essen, M. (2016). Home country</w:t>
      </w:r>
      <w:r>
        <w:t xml:space="preserve"> </w:t>
      </w:r>
      <w:r>
        <w:t xml:space="preserve">institutions and the internationalization–performance relationship: A meta-analytic review.</w:t>
      </w:r>
    </w:p>
    <w:p>
      <w:pPr>
        <w:pStyle w:val="BodyText"/>
      </w:pPr>
      <w:r>
        <w:t xml:space="preserve">Journal of Management, 42(5):1075–1110.</w:t>
      </w:r>
      <w:r>
        <w:t xml:space="preserve"> </w:t>
      </w:r>
      <w:r>
        <w:t xml:space="preserve">Nambisan, S., Wright, M., and Feldman, M. (2019). The digital transformation of innovation</w:t>
      </w:r>
      <w:r>
        <w:t xml:space="preserve"> </w:t>
      </w:r>
      <w:r>
        <w:t xml:space="preserve">and entrepreneurship: Progress, challenges and key themes. Research Policy, 48(8):103773.</w:t>
      </w:r>
      <w:r>
        <w:t xml:space="preserve"> </w:t>
      </w:r>
      <w:r>
        <w:t xml:space="preserve">Oster, E. (2019). Unobservable selection and coefficient stability: Theory and evidence. Journal</w:t>
      </w:r>
    </w:p>
    <w:p>
      <w:pPr>
        <w:pStyle w:val="BodyText"/>
      </w:pPr>
      <w:r>
        <w:t xml:space="preserve">of Business &amp; Economic Statistics, 37(2):187–204.</w:t>
      </w:r>
      <w:r>
        <w:t xml:space="preserve"> </w:t>
      </w:r>
      <w:r>
        <w:t xml:space="preserve">Paternoster, R., Brame, R., Mazerolle, P., and Piquero, A. (1998). Using the correct statistical</w:t>
      </w:r>
      <w:r>
        <w:t xml:space="preserve"> </w:t>
      </w:r>
      <w:r>
        <w:t xml:space="preserve">test for the equality of regression coefficients. Criminology, 36(4):859–866.</w:t>
      </w:r>
      <w:r>
        <w:t xml:space="preserve"> </w:t>
      </w:r>
      <w:r>
        <w:t xml:space="preserve">Petricevic, O. and Teece, D. J. (2019). The structural reshaping of globalization: Implications</w:t>
      </w:r>
      <w:r>
        <w:t xml:space="preserve"> </w:t>
      </w:r>
      <w:r>
        <w:t xml:space="preserve">for strategic sectors, profiting from innovation, and the multinational enterprise.</w:t>
      </w:r>
    </w:p>
    <w:p>
      <w:pPr>
        <w:pStyle w:val="BodyText"/>
      </w:pPr>
      <w:r>
        <w:t xml:space="preserve">Journal of</w:t>
      </w:r>
    </w:p>
    <w:p>
      <w:pPr>
        <w:pStyle w:val="BodyText"/>
      </w:pPr>
      <w:r>
        <w:t xml:space="preserve">International Business Studies, 50(9):1487–1512.</w:t>
      </w:r>
      <w:r>
        <w:t xml:space="preserve"> </w:t>
      </w:r>
      <w:r>
        <w:t xml:space="preserve">Shaver, J. M. (2020). Causal identification through a cumulative body of research in the study</w:t>
      </w:r>
      <w:r>
        <w:t xml:space="preserve"> </w:t>
      </w:r>
      <w:r>
        <w:t xml:space="preserve">of strategy and organizations. Journal of Management, 46(7):1244–1256.</w:t>
      </w:r>
      <w:r>
        <w:t xml:space="preserve"> </w:t>
      </w:r>
      <w:r>
        <w:t xml:space="preserve">Stallkamp, M. and Schotter, A. P. J. (2021).</w:t>
      </w:r>
    </w:p>
    <w:p>
      <w:pPr>
        <w:pStyle w:val="BodyText"/>
      </w:pPr>
      <w:r>
        <w:t xml:space="preserve">Platforms without borders?</w:t>
      </w:r>
    </w:p>
    <w:p>
      <w:pPr>
        <w:pStyle w:val="BodyText"/>
      </w:pPr>
      <w:r>
        <w:t xml:space="preserve">The international</w:t>
      </w:r>
    </w:p>
    <w:p>
      <w:pPr>
        <w:pStyle w:val="BodyText"/>
      </w:pPr>
      <w:r>
        <w:t xml:space="preserve">strategies of digital platform firms. Global Strategy Journal, 11(1):58–80.</w:t>
      </w:r>
      <w:r>
        <w:t xml:space="preserve"> </w:t>
      </w:r>
      <w:r>
        <w:t xml:space="preserve">Strange, R. and Zucchella, A. (2017). Industry 4.0, global value chains and international business.</w:t>
      </w:r>
    </w:p>
    <w:p>
      <w:pPr>
        <w:pStyle w:val="BodyText"/>
      </w:pPr>
      <w:r>
        <w:t xml:space="preserve">Multinational Business Review, 25(3):174–184.</w:t>
      </w:r>
      <w:r>
        <w:t xml:space="preserve"> </w:t>
      </w:r>
      <w:r>
        <w:t xml:space="preserve">Teece, D. J. (2007).</w:t>
      </w:r>
    </w:p>
    <w:p>
      <w:pPr>
        <w:pStyle w:val="BodyText"/>
      </w:pPr>
      <w:r>
        <w:t xml:space="preserve">Explicating dynamic capabilities:</w:t>
      </w:r>
    </w:p>
    <w:p>
      <w:pPr>
        <w:pStyle w:val="BodyText"/>
      </w:pPr>
      <w:r>
        <w:t xml:space="preserve">The nature and microfoundations of</w:t>
      </w:r>
    </w:p>
    <w:p>
      <w:pPr>
        <w:pStyle w:val="BodyText"/>
      </w:pPr>
      <w:r>
        <w:t xml:space="preserve">(sustainable) enterprise performance. Strategic Management Journal, 28(13):1319–1350.</w:t>
      </w:r>
      <w:r>
        <w:t xml:space="preserve"> </w:t>
      </w:r>
      <w:r>
        <w:t xml:space="preserve">Vahlne, J.-E. (2020). Development of the Uppsala model of internationalization process: From</w:t>
      </w:r>
      <w:r>
        <w:t xml:space="preserve"> </w:t>
      </w:r>
      <w:r>
        <w:t xml:space="preserve">internationalization to evolution. Global Strategy Journal, 10(2):239–250.</w:t>
      </w:r>
      <w:r>
        <w:t xml:space="preserve"> </w:t>
      </w:r>
      <w:r>
        <w:t xml:space="preserve">Vahlne, J.-E. and Johanson, J. (2017).</w:t>
      </w:r>
    </w:p>
    <w:p>
      <w:pPr>
        <w:pStyle w:val="BodyText"/>
      </w:pPr>
      <w:r>
        <w:t xml:space="preserve">From internationalization to evolution: The Uppsala</w:t>
      </w:r>
    </w:p>
    <w:p>
      <w:pPr>
        <w:pStyle w:val="BodyText"/>
      </w:pPr>
      <w:r>
        <w:t xml:space="preserve">model at 40 years. Journal of International Business Studies, 48(9):1087–1102.</w:t>
      </w:r>
      <w:r>
        <w:t xml:space="preserve"> </w:t>
      </w:r>
      <w:r>
        <w:t xml:space="preserve">Verhoef, P. C., Broekhuizen, T., Bart, Y., Bhattacharya, A., Dong, J. Q., Fabian, N., and Haenlein, M. (2021). Digital transformation: A multidisciplinary reflection and research agenda.</w:t>
      </w:r>
    </w:p>
    <w:p>
      <w:pPr>
        <w:pStyle w:val="BodyText"/>
      </w:pPr>
      <w:r>
        <w:t xml:space="preserve">Journal of Business Research, 122:889–901.</w:t>
      </w:r>
      <w:r>
        <w:t xml:space="preserve"> </w:t>
      </w:r>
      <w:r>
        <w:t xml:space="preserve">Vernon, R. (1979). The product cycle hypothesis in a new international environment.</w:t>
      </w:r>
    </w:p>
    <w:p>
      <w:pPr>
        <w:pStyle w:val="BodyText"/>
      </w:pPr>
      <w:r>
        <w:t xml:space="preserve">Bulletin of Economics and Statistics, 41(4):255–267.</w:t>
      </w:r>
    </w:p>
    <w:p>
      <w:pPr>
        <w:pStyle w:val="BodyText"/>
      </w:pPr>
      <w:r>
        <w:t xml:space="preserve">Oxford</w:t>
      </w:r>
    </w:p>
    <w:p>
      <w:pPr>
        <w:pStyle w:val="BodyText"/>
      </w:pPr>
      <w:r>
        <w:t xml:space="preserve">Vial, G. (2019). Understanding digital transformation: A review and a research agenda. Journal</w:t>
      </w:r>
    </w:p>
    <w:p>
      <w:pPr>
        <w:pStyle w:val="BodyText"/>
      </w:pPr>
      <w:r>
        <w:t xml:space="preserve">of Strategic Information Systems, 28(2):118–144.</w:t>
      </w:r>
      <w:r>
        <w:t xml:space="preserve"> </w:t>
      </w:r>
      <w:r>
        <w:t xml:space="preserve">Wagner, J. (2007). Exports and productivity: A survey of the evidence from firm-level data.</w:t>
      </w:r>
    </w:p>
    <w:p>
      <w:pPr>
        <w:pStyle w:val="BodyText"/>
      </w:pPr>
      <w:r>
        <w:t xml:space="preserve">The World Economy, 30(1):60–82.</w:t>
      </w:r>
      <w:r>
        <w:t xml:space="preserve"> </w:t>
      </w:r>
      <w:r>
        <w:t xml:space="preserve">Wolfolds, S. E. and Siegel, J. (2019). Misaccounting for endogeneity: The peril of relying on</w:t>
      </w:r>
      <w:r>
        <w:t xml:space="preserve"> </w:t>
      </w:r>
      <w:r>
        <w:t xml:space="preserve">the Heckman two-step method without a valid instrument.</w:t>
      </w:r>
    </w:p>
    <w:p>
      <w:pPr>
        <w:pStyle w:val="BodyText"/>
      </w:pPr>
      <w:r>
        <w:t xml:space="preserve">Strategic Management Journal,</w:t>
      </w:r>
    </w:p>
    <w:p>
      <w:pPr>
        <w:pStyle w:val="BodyText"/>
      </w:pPr>
      <w:r>
        <w:t xml:space="preserve">40(3):432–462.</w:t>
      </w:r>
      <w:r>
        <w:t xml:space="preserve"> </w:t>
      </w:r>
      <w:r>
        <w:t xml:space="preserve">Wooldridge, J. M. (2010).</w:t>
      </w:r>
    </w:p>
    <w:p>
      <w:pPr>
        <w:pStyle w:val="BodyText"/>
      </w:pPr>
      <w:r>
        <w:t xml:space="preserve">Econometric analysis of cross section and panel data. MIT Press,</w:t>
      </w:r>
    </w:p>
    <w:p>
      <w:pPr>
        <w:pStyle w:val="BodyText"/>
      </w:pPr>
      <w:r>
        <w:t xml:space="preserve">2nd edition.</w:t>
      </w:r>
      <w:r>
        <w:t xml:space="preserve"> </w:t>
      </w:r>
      <w:r>
        <w:t xml:space="preserve">World Bank (2010).</w:t>
      </w:r>
    </w:p>
    <w:p>
      <w:pPr>
        <w:pStyle w:val="BodyText"/>
      </w:pPr>
      <w:r>
        <w:t xml:space="preserve">Vietnam Enterprise Survey 2009: Data file.</w:t>
      </w:r>
    </w:p>
    <w:p>
      <w:pPr>
        <w:pStyle w:val="BodyText"/>
      </w:pPr>
      <w:r>
        <w:t xml:space="preserve">Enterprise Surveys, World</w:t>
      </w:r>
    </w:p>
    <w:p>
      <w:pPr>
        <w:pStyle w:val="BodyText"/>
      </w:pPr>
      <w:r>
        <w:t xml:space="preserve">Vietnam Enterprise Survey 2015: Data file.</w:t>
      </w:r>
    </w:p>
    <w:p>
      <w:pPr>
        <w:pStyle w:val="BodyText"/>
      </w:pPr>
      <w:r>
        <w:t xml:space="preserve">Enterprise Surveys, World</w:t>
      </w:r>
    </w:p>
    <w:p>
      <w:pPr>
        <w:pStyle w:val="BodyText"/>
      </w:pPr>
      <w:r>
        <w:t xml:space="preserve">Vietnam Enterprise Survey 2023: Data file.</w:t>
      </w:r>
    </w:p>
    <w:p>
      <w:pPr>
        <w:pStyle w:val="BodyText"/>
      </w:pPr>
      <w:r>
        <w:t xml:space="preserve">Enterprise Surveys, World</w:t>
      </w:r>
    </w:p>
    <w:p>
      <w:pPr>
        <w:pStyle w:val="BodyText"/>
      </w:pPr>
      <w:r>
        <w:t xml:space="preserve">Bank Group.</w:t>
      </w:r>
      <w:r>
        <w:t xml:space="preserve"> </w:t>
      </w:r>
      <w:r>
        <w:t xml:space="preserve">World Bank (2016).</w:t>
      </w:r>
      <w:r>
        <w:t xml:space="preserve"> </w:t>
      </w:r>
      <w:r>
        <w:t xml:space="preserve">Bank Group.</w:t>
      </w:r>
      <w:r>
        <w:t xml:space="preserve"> </w:t>
      </w:r>
      <w:r>
        <w:t xml:space="preserve">World Bank (2024).</w:t>
      </w:r>
      <w:r>
        <w:t xml:space="preserve"> </w:t>
      </w:r>
      <w:r>
        <w:t xml:space="preserve">Bank Group.</w:t>
      </w:r>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Wright, M., Filatotchev, I., Hoskisson, R. E., and Peng, M. W. (2005).</w:t>
      </w:r>
    </w:p>
    <w:p>
      <w:pPr>
        <w:pStyle w:val="BodyText"/>
      </w:pPr>
      <w:r>
        <w:t xml:space="preserve">Strategy research in</w:t>
      </w:r>
    </w:p>
    <w:p>
      <w:pPr>
        <w:pStyle w:val="BodyText"/>
      </w:pPr>
      <w:r>
        <w:t xml:space="preserve">emerging economies: Challenging the conventional wisdom. Journal of Management Studies,</w:t>
      </w:r>
      <w:r>
        <w:t xml:space="preserve"> </w:t>
      </w:r>
      <w:r>
        <w:t xml:space="preserve">42(1):1–33.</w:t>
      </w:r>
      <w:r>
        <w:t xml:space="preserve"> </w:t>
      </w:r>
      <w:r>
        <w:t xml:space="preserve">Wu, J., Wang, C., Hong, J., Piperopoulos, P., and Zhuo, S. (2016). Internationalization and</w:t>
      </w:r>
      <w:r>
        <w:t xml:space="preserve"> </w:t>
      </w:r>
      <w:r>
        <w:t xml:space="preserve">innovation performance of emerging market enterprises: The role of host-country institutional</w:t>
      </w:r>
      <w:r>
        <w:t xml:space="preserve"> </w:t>
      </w:r>
      <w:r>
        <w:t xml:space="preserve">development. Journal of World Business, 51(2):251–263.</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abstractNum w:abstractNumId="99431998">
    <w:nsid w:val="A99431998"/>
    <w:multiLevelType w:val="multilevel"/>
    <w:lvl w:ilvl="0">
      <w:start w:val="1998"/>
      <w:numFmt w:val="decimal"/>
      <w:lvlText w:val="(%1)"/>
      <w:lvlJc w:val="left"/>
      <w:pPr>
        <w:ind w:left="720" w:hanging="480"/>
      </w:pPr>
    </w:lvl>
    <w:lvl w:ilvl="1">
      <w:start w:val="1998"/>
      <w:numFmt w:val="decimal"/>
      <w:lvlText w:val="(%2)"/>
      <w:lvlJc w:val="left"/>
      <w:pPr>
        <w:ind w:left="1440" w:hanging="480"/>
      </w:pPr>
    </w:lvl>
    <w:lvl w:ilvl="2">
      <w:start w:val="1998"/>
      <w:numFmt w:val="decimal"/>
      <w:lvlText w:val="(%3)"/>
      <w:lvlJc w:val="left"/>
      <w:pPr>
        <w:ind w:left="2160" w:hanging="480"/>
      </w:pPr>
    </w:lvl>
    <w:lvl w:ilvl="3">
      <w:start w:val="1998"/>
      <w:numFmt w:val="decimal"/>
      <w:lvlText w:val="(%4)"/>
      <w:lvlJc w:val="left"/>
      <w:pPr>
        <w:ind w:left="2880" w:hanging="480"/>
      </w:pPr>
    </w:lvl>
    <w:lvl w:ilvl="4">
      <w:start w:val="1998"/>
      <w:numFmt w:val="decimal"/>
      <w:lvlText w:val="(%5)"/>
      <w:lvlJc w:val="left"/>
      <w:pPr>
        <w:ind w:left="3600" w:hanging="480"/>
      </w:pPr>
    </w:lvl>
    <w:lvl w:ilvl="5">
      <w:start w:val="1998"/>
      <w:numFmt w:val="decimal"/>
      <w:lvlText w:val="(%6)"/>
      <w:lvlJc w:val="left"/>
      <w:pPr>
        <w:ind w:left="4320" w:hanging="480"/>
      </w:pPr>
    </w:lvl>
    <w:lvl w:ilvl="6">
      <w:start w:val="1998"/>
      <w:numFmt w:val="decimal"/>
      <w:lvlText w:val="(%7)"/>
      <w:lvlJc w:val="left"/>
      <w:pPr>
        <w:ind w:left="5040" w:hanging="480"/>
      </w:pPr>
    </w:lvl>
    <w:lvl w:ilvl="7">
      <w:start w:val="1998"/>
      <w:numFmt w:val="decimal"/>
      <w:lvlText w:val="(%8)"/>
      <w:lvlJc w:val="left"/>
      <w:pPr>
        <w:ind w:left="5760" w:hanging="480"/>
      </w:pPr>
    </w:lvl>
    <w:lvl w:ilvl="8">
      <w:start w:val="1998"/>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 w:numId="1002">
    <w:abstractNumId w:val="99431998"/>
    <w:lvlOverride w:ilvl="0">
      <w:startOverride w:val="1998"/>
    </w:lvlOverride>
    <w:lvlOverride w:ilvl="1">
      <w:startOverride w:val="1998"/>
    </w:lvlOverride>
    <w:lvlOverride w:ilvl="2">
      <w:startOverride w:val="1998"/>
    </w:lvlOverride>
    <w:lvlOverride w:ilvl="3">
      <w:startOverride w:val="1998"/>
    </w:lvlOverride>
    <w:lvlOverride w:ilvl="4">
      <w:startOverride w:val="1998"/>
    </w:lvlOverride>
    <w:lvlOverride w:ilvl="5">
      <w:startOverride w:val="1998"/>
    </w:lvlOverride>
    <w:lvlOverride w:ilvl="6">
      <w:startOverride w:val="1998"/>
    </w:lvlOverride>
    <w:lvlOverride w:ilvl="7">
      <w:startOverride w:val="1998"/>
    </w:lvlOverride>
    <w:lvlOverride w:ilvl="8">
      <w:startOverride w:val="199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8" Type="http://schemas.openxmlformats.org/officeDocument/2006/relationships/image" Target="media/rId58.png"/><Relationship Id="rId61" Type="http://schemas.openxmlformats.org/officeDocument/2006/relationships/image" Target="media/rId61.png"/><Relationship Id="rId64" Type="http://schemas.openxmlformats.org/officeDocument/2006/relationships/image" Target="media/rId64.png"/><Relationship Id="rId67" Type="http://schemas.openxmlformats.org/officeDocument/2006/relationships/image" Target="media/rId67.png"/><Relationship Id="rId70" Type="http://schemas.openxmlformats.org/officeDocument/2006/relationships/image" Target="media/rId70.png"/><Relationship Id="rId73" Type="http://schemas.openxmlformats.org/officeDocument/2006/relationships/image" Target="media/rId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2026-05-08T13:47:55Z</dcterms:created>
  <dcterms:modified xsi:type="dcterms:W3CDTF">2026-05-08T13:47:55Z</dcterms:modified>
</cp:coreProperties>
</file>

<file path=docProps/custom.xml><?xml version="1.0" encoding="utf-8"?>
<Properties xmlns="http://schemas.openxmlformats.org/officeDocument/2006/custom-properties" xmlns:vt="http://schemas.openxmlformats.org/officeDocument/2006/docPropsVTypes"/>
</file>