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 "Xây dựng mô hình nghiên cứu về ảnh hưởng của quốc tế hóa đến hiệu quả hoạt động kinh doanh của các doanh nghiệp ở Châu Á" 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 Uppsala Model (Johanson &amp; Vahlne, 1977, 2009), Resource-Based View (Barney, 1991; Wernerfelt, 1984), Institutional Theory (North, 1990; Khanna &amp; Palepu, 2010; Peng, 2003) và Upper Echelons Theory (Hambrick &amp; Mason, 1984; Hambrick, 2007) — kết hợp với Foundational Digital Adoption Framework (Banalieva &amp; Dhanaraj, 2019; Verhoef et al., 2021; Stallkamp &amp; Schotter, 2021) làm nền tảng lý thuyết. Lược khảo năm dạng hàm quan hệ quốc tế hóa —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tích cực ở Emerging/Frontier (H3a) và có điều kiện/null ở Advanced (H3b), phân biệt với TCI; H4a–H4c đặc điểm nhà quản trị điều tiết (kinh nghiệm, học vấn, giới tính — tách biệt dấu kỳ vọng);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101.185 doanh nghiệp ở 47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 P3 Việt Nam (JABS, under review), P4 Singapore (MIR, under review), P5 Trung Quốc (IJOEM, under review) —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 the Uppsala Model (Johanson &amp; Vahlne, 1977, 2009), the Resource-Based View (Barney, 1991; Wernerfelt, 1984), Institutional Theory (North, 1990; Khanna &amp; Palepu, 2010; Peng, 2003), and Upper Echelons Theory (Hambrick &amp; Mason, 1984; Hambrick, 2007) — together with the Foundational Digital Adoption Framework (Banalieva &amp; Dhanaraj, 2019; Verhoef et al., 2021; Stallkamp &amp; Schotter, 2021). A review of five functional forms of the internationalization–performance (I→P) relationship — linear, inverted-U, S-curve, M-curve, and forced penalty —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positive for Emerging/Frontier (H3a),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empirical papers — P3 Vietnam (JABS, under review), P4 Singapore (MIR, under review), P5 China (IJOEM, under review) —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văn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 câu hỏi phụ — biến số — giả thuyết —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 biến WBES — kỳ vọng dấu — giả thuyết</w:t>
      </w:r>
    </w:p>
    <w:p>
      <w:pPr>
        <w:pStyle w:val="BodyText"/>
      </w:pPr>
      <w:r>
        <w:t xml:space="preserve">Bảng 2.5. Hệ giả thuyết H1–H6 — tóm tắt cơ chế, biến, kỳ vọng, và bằng chứng neo đậu</w:t>
      </w:r>
    </w:p>
    <w:p>
      <w:pPr>
        <w:pStyle w:val="BodyText"/>
      </w:pPr>
      <w:r>
        <w:t xml:space="preserve">Bảng 2.6. CDCM — Dự đoán tác động DAI theo 3 chiều ngữ cảnh</w:t>
      </w:r>
    </w:p>
    <w:p>
      <w:pPr>
        <w:pStyle w:val="BodyText"/>
      </w:pPr>
      <w:r>
        <w:t xml:space="preserve">Bảng 2.7. Tám mô hình M0–M7 —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 đặc điểm và tiêu chí</w:t>
      </w:r>
    </w:p>
    <w:p>
      <w:pPr>
        <w:pStyle w:val="BodyText"/>
      </w:pPr>
      <w:r>
        <w:t xml:space="preserve">Bảng 2.12. Kế hoạch kiểm định độ vững —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 tổng quan</w:t>
      </w:r>
    </w:p>
    <w:p>
      <w:pPr>
        <w:pStyle w:val="BodyText"/>
      </w:pPr>
      <w:r>
        <w:t xml:space="preserve">Hình 2.2. Khung khái niệm tích hợp CĐ2 —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 Chỉ số áp dụng số</w:t>
            </w:r>
          </w:p>
        </w:tc>
      </w:tr>
      <w:tr>
        <w:tc>
          <w:tcPr/>
          <w:p>
            <w:pPr>
              <w:pStyle w:val="Compact"/>
              <w:jc w:val="left"/>
            </w:pPr>
            <w:r>
              <w:t xml:space="preserve">FDI</w:t>
            </w:r>
          </w:p>
        </w:tc>
        <w:tc>
          <w:tcPr/>
          <w:p>
            <w:pPr>
              <w:pStyle w:val="Compact"/>
              <w:jc w:val="left"/>
            </w:pPr>
            <w:r>
              <w:t xml:space="preserve">Foreign Direct Investment — Đầu tư trực tiếp nước ngoài</w:t>
            </w:r>
          </w:p>
        </w:tc>
      </w:tr>
      <w:tr>
        <w:tc>
          <w:tcPr/>
          <w:p>
            <w:pPr>
              <w:pStyle w:val="Compact"/>
              <w:jc w:val="left"/>
            </w:pPr>
            <w:r>
              <w:t xml:space="preserve">FE</w:t>
            </w:r>
          </w:p>
        </w:tc>
        <w:tc>
          <w:tcPr/>
          <w:p>
            <w:pPr>
              <w:pStyle w:val="Compact"/>
              <w:jc w:val="left"/>
            </w:pPr>
            <w:r>
              <w:t xml:space="preserve">Fixed Effects — Hiệu ứng cố định</w:t>
            </w:r>
          </w:p>
        </w:tc>
      </w:tr>
      <w:tr>
        <w:tc>
          <w:tcPr/>
          <w:p>
            <w:pPr>
              <w:pStyle w:val="Compact"/>
              <w:jc w:val="left"/>
            </w:pPr>
            <w:r>
              <w:t xml:space="preserve">FSTS</w:t>
            </w:r>
          </w:p>
        </w:tc>
        <w:tc>
          <w:tcPr/>
          <w:p>
            <w:pPr>
              <w:pStyle w:val="Compact"/>
              <w:jc w:val="left"/>
            </w:pPr>
            <w:r>
              <w:t xml:space="preserve">Foreign Sales to Total Sales ratio —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 → Performance — Quan hệ quốc tế hóa — hiệu quả</w:t>
            </w:r>
          </w:p>
        </w:tc>
      </w:tr>
      <w:tr>
        <w:tc>
          <w:tcPr/>
          <w:p>
            <w:pPr>
              <w:pStyle w:val="Compact"/>
              <w:jc w:val="left"/>
            </w:pPr>
            <w:r>
              <w:t xml:space="preserve">IB</w:t>
            </w:r>
          </w:p>
        </w:tc>
        <w:tc>
          <w:tcPr/>
          <w:p>
            <w:pPr>
              <w:pStyle w:val="Compact"/>
              <w:jc w:val="left"/>
            </w:pPr>
            <w:r>
              <w:t xml:space="preserve">International Business — Kinh doanh quốc tế</w:t>
            </w:r>
          </w:p>
        </w:tc>
      </w:tr>
      <w:tr>
        <w:tc>
          <w:tcPr/>
          <w:p>
            <w:pPr>
              <w:pStyle w:val="Compact"/>
              <w:jc w:val="left"/>
            </w:pPr>
            <w:r>
              <w:t xml:space="preserve">ICRV</w:t>
            </w:r>
          </w:p>
        </w:tc>
        <w:tc>
          <w:tcPr/>
          <w:p>
            <w:pPr>
              <w:pStyle w:val="Compact"/>
              <w:jc w:val="left"/>
            </w:pPr>
            <w:r>
              <w:t xml:space="preserve">Institutional Context Regime Variation —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 Nghiên cứu và phát triển</w:t>
            </w:r>
          </w:p>
        </w:tc>
      </w:tr>
      <w:tr>
        <w:tc>
          <w:tcPr/>
          <w:p>
            <w:pPr>
              <w:pStyle w:val="Compact"/>
              <w:jc w:val="left"/>
            </w:pPr>
            <w:r>
              <w:t xml:space="preserve">RBV</w:t>
            </w:r>
          </w:p>
        </w:tc>
        <w:tc>
          <w:tcPr/>
          <w:p>
            <w:pPr>
              <w:pStyle w:val="Compact"/>
              <w:jc w:val="left"/>
            </w:pPr>
            <w:r>
              <w:t xml:space="preserve">Resource-Based View —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 Lợi nhuận trên tổng tài sản</w:t>
            </w:r>
          </w:p>
        </w:tc>
      </w:tr>
      <w:tr>
        <w:tc>
          <w:tcPr/>
          <w:p>
            <w:pPr>
              <w:pStyle w:val="Compact"/>
              <w:jc w:val="left"/>
            </w:pPr>
            <w:r>
              <w:t xml:space="preserve">ROS</w:t>
            </w:r>
          </w:p>
        </w:tc>
        <w:tc>
          <w:tcPr/>
          <w:p>
            <w:pPr>
              <w:pStyle w:val="Compact"/>
              <w:jc w:val="left"/>
            </w:pPr>
            <w:r>
              <w:t xml:space="preserve">Return on Sales — Lợi nhuận trên doanh thu</w:t>
            </w:r>
          </w:p>
        </w:tc>
      </w:tr>
      <w:tr>
        <w:tc>
          <w:tcPr/>
          <w:p>
            <w:pPr>
              <w:pStyle w:val="Compact"/>
              <w:jc w:val="left"/>
            </w:pPr>
            <w:r>
              <w:t xml:space="preserve">SE</w:t>
            </w:r>
          </w:p>
        </w:tc>
        <w:tc>
          <w:tcPr/>
          <w:p>
            <w:pPr>
              <w:pStyle w:val="Compact"/>
              <w:jc w:val="left"/>
            </w:pPr>
            <w:r>
              <w:t xml:space="preserve">Standard Errors — Sai số chuẩn</w:t>
            </w:r>
          </w:p>
        </w:tc>
      </w:tr>
      <w:tr>
        <w:tc>
          <w:tcPr/>
          <w:p>
            <w:pPr>
              <w:pStyle w:val="Compact"/>
              <w:jc w:val="left"/>
            </w:pPr>
            <w:r>
              <w:t xml:space="preserve">SIDS</w:t>
            </w:r>
          </w:p>
        </w:tc>
        <w:tc>
          <w:tcPr/>
          <w:p>
            <w:pPr>
              <w:pStyle w:val="Compact"/>
              <w:jc w:val="left"/>
            </w:pPr>
            <w:r>
              <w:t xml:space="preserve">Small Island Developing States — Các quốc đảo nhỏ đang phát triển</w:t>
            </w:r>
          </w:p>
        </w:tc>
      </w:tr>
      <w:tr>
        <w:tc>
          <w:tcPr/>
          <w:p>
            <w:pPr>
              <w:pStyle w:val="Compact"/>
              <w:jc w:val="left"/>
            </w:pPr>
            <w:r>
              <w:t xml:space="preserve">SME</w:t>
            </w:r>
          </w:p>
        </w:tc>
        <w:tc>
          <w:tcPr/>
          <w:p>
            <w:pPr>
              <w:pStyle w:val="Compact"/>
              <w:jc w:val="left"/>
            </w:pPr>
            <w:r>
              <w:t xml:space="preserve">Small and Medium-sized Enterprise — Doanh nghiệp vừa và nhỏ</w:t>
            </w:r>
          </w:p>
        </w:tc>
      </w:tr>
      <w:tr>
        <w:tc>
          <w:tcPr/>
          <w:p>
            <w:pPr>
              <w:pStyle w:val="Compact"/>
              <w:jc w:val="left"/>
            </w:pPr>
            <w:r>
              <w:t xml:space="preserve">SOE</w:t>
            </w:r>
          </w:p>
        </w:tc>
        <w:tc>
          <w:tcPr/>
          <w:p>
            <w:pPr>
              <w:pStyle w:val="Compact"/>
              <w:jc w:val="left"/>
            </w:pPr>
            <w:r>
              <w:t xml:space="preserve">State-Owned Enterprise — Doanh nghiệp nhà nước</w:t>
            </w:r>
          </w:p>
        </w:tc>
      </w:tr>
      <w:tr>
        <w:tc>
          <w:tcPr/>
          <w:p>
            <w:pPr>
              <w:pStyle w:val="Compact"/>
              <w:jc w:val="left"/>
            </w:pPr>
            <w:r>
              <w:t xml:space="preserve">TCI</w:t>
            </w:r>
          </w:p>
        </w:tc>
        <w:tc>
          <w:tcPr/>
          <w:p>
            <w:pPr>
              <w:pStyle w:val="Compact"/>
              <w:jc w:val="left"/>
            </w:pPr>
            <w:r>
              <w:t xml:space="preserve">Technological Capability Index — Chỉ số năng lực công nghệ</w:t>
            </w:r>
          </w:p>
        </w:tc>
      </w:tr>
      <w:tr>
        <w:tc>
          <w:tcPr/>
          <w:p>
            <w:pPr>
              <w:pStyle w:val="Compact"/>
              <w:jc w:val="left"/>
            </w:pPr>
            <w:r>
              <w:t xml:space="preserve">UE</w:t>
            </w:r>
          </w:p>
        </w:tc>
        <w:tc>
          <w:tcPr/>
          <w:p>
            <w:pPr>
              <w:pStyle w:val="Compact"/>
              <w:jc w:val="left"/>
            </w:pPr>
            <w:r>
              <w:t xml:space="preserve">Upper Echelons Theory —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0" w:name="phần-2--nội-dung-chuyên-đề"/>
    <w:p>
      <w:pPr>
        <w:pStyle w:val="Heading2"/>
      </w:pPr>
      <w:r>
        <w:t xml:space="preserve">Phần 2 — NỘI DUNG CHUYÊN ĐỀ</w:t>
      </w:r>
    </w:p>
    <w:bookmarkStart w:id="32" w:name="X250440a458f84752b4b3036c6ea6774636261fc"/>
    <w:p>
      <w:pPr>
        <w:pStyle w:val="Heading3"/>
      </w:pPr>
      <w:r>
        <w:t xml:space="preserve">2.1 Đặt vấn đề</w:t>
      </w:r>
    </w:p>
    <w:bookmarkStart w:id="27" w:name="X6fd7dffa6b3478b027da0e5f281b07809f22c1a"/>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Văn liệu kinh doanh quốc tế (IB) đã ghi nhận năm dạng hàm khác nhau trong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w:t>
      </w:r>
    </w:p>
    <w:p>
      <w:pPr>
        <w:pStyle w:val="BodyText"/>
      </w:pPr>
      <w:r>
        <w:t xml:space="preserve">Châu Á trong giai đoạn 2009–2025 là phòng thí nghiệm tự nhiên độc đáo cho nghiên cứu quan hệ I→P.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(Banalieva &amp; Dhanaraj, 2019; Verhoef et al., 2021; Yang, Zhao &amp; Wei, 2025).</w:t>
      </w:r>
    </w:p>
    <w:p>
      <w:pPr>
        <w:pStyle w:val="BodyText"/>
      </w:pPr>
      <w:r>
        <w:t xml:space="preserve">Khung lý thuyết hiện hành về quan hệ I→P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101.185 doanh nghiệp WBES xuyên 47 nền kinh tế, làm rõ ba pattern then chốt: phân tán năng suất tăng đơn điệu theo chế độ từ Nhóm I đến Nhóm VI; tính không đồng nhất nội bộ trong nhóm Advanced; và pattern adaptation đặc trưng của các quốc đảo nhỏ Thái Bình Dương. Đồng thời, phân tích đó phát hiện CDCM —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pattern đó.</w:t>
      </w:r>
    </w:p>
    <w:p>
      <w:pPr>
        <w:pStyle w:val="BodyText"/>
      </w:pPr>
      <w:r>
        <w:t xml:space="preserve">Bốn bản thảo thực nghiệm đồng hành cung cấp bằng chứng quốc gia cụ thể kiểm định khả năng của khung đề xuất.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under review)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under review) phân tích 623 doanh nghiệp WBES 2023, cho thấy điểm uốn hàm ý ở FSTS khoảng 88,6% và DAI hoạt động như nguồn lực mở rộng tình huống với hệ số DAI×FSTS² = +3,119 (p = 0,005). P5 Trung Quốc (Đỗ &amp; Phan, 2026, IJOEM under review) phân tích 4.559 doanh nghiệp WBES hai sóng (2012, 2024) xác nhận chữ U ngược bền vững cấu trúc với điểm uốn 49,4% (2012) và 47,2% (2024).</w:t>
      </w:r>
    </w:p>
    <w:bookmarkEnd w:id="27"/>
    <w:bookmarkStart w:id="28" w:name="X7f20f31862286b06027ff59c387b4d07500e944"/>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X28671d9fcbac6b0efa836b4f85e9e35e8b46ecb"/>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 năng lực công nghệ TCI, mức độ áp dụng số DAI, đặc điểm nhà quản trị, chế độ thể chế nội địa —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X73c4e02a184ef39ee5bcd85312599da377da197"/>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 đó là nhiệm vụ của các bài báo tiếp theo trong chuỗi luận án. Chuyên đề này tập trung xây dựng và đặc tả mô hình.</w:t>
      </w:r>
    </w:p>
    <w:bookmarkEnd w:id="30"/>
    <w:bookmarkStart w:id="31" w:name="X173e482f639c5b1a820140a37335e593ce55be4"/>
    <w:p>
      <w:pPr>
        <w:pStyle w:val="Heading4"/>
      </w:pPr>
      <w:r>
        <w:t xml:space="preserve">2.1.5 Ý nghĩa</w:t>
      </w:r>
    </w:p>
    <w:p>
      <w:pPr>
        <w:pStyle w:val="FirstParagraph"/>
      </w:pPr>
      <w:r>
        <w:t xml:space="preserve">Về lý thuyết, chuyên đề đóng góp khung tích hợp 4 tầng kết hợp Foundational Digital Adoption Framework — chưa có khung tương đương trong văn liệu IB cho khu vực 47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văn liệu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 đặc biệt trong giai đoạn AI bùng nổ.</w:t>
      </w:r>
    </w:p>
    <w:p>
      <w:r>
        <w:pict>
          <v:rect style="width:0;height:1.5pt" o:hralign="center" o:hrstd="t" o:hr="t"/>
        </w:pict>
      </w:r>
    </w:p>
    <w:bookmarkEnd w:id="31"/>
    <w:bookmarkEnd w:id="32"/>
    <w:bookmarkStart w:id="33" w:name="X8ba68eb4f47e195906995745687b14136750d53"/>
    <w:p>
      <w:pPr>
        <w:pStyle w:val="Heading3"/>
      </w:pPr>
      <w:r>
        <w:t xml:space="preserve">2.2 Phương pháp nghiên cứu</w:t>
      </w:r>
    </w:p>
    <w:p>
      <w:pPr>
        <w:pStyle w:val="FirstParagraph"/>
      </w:pPr>
      <w:r>
        <w:t xml:space="preserve">Chuyên đề tiếp cận theo lối tổng quan văn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Xfadb92acae8a4d37a91981bb046b7a60d6983fb"/>
    <w:p>
      <w:pPr>
        <w:pStyle w:val="Heading3"/>
      </w:pPr>
      <w:r>
        <w:t xml:space="preserve">2.3 Kết quả và thảo luận</w:t>
      </w:r>
    </w:p>
    <w:bookmarkStart w:id="37" w:name="X1a15d42e320d2462e5852a7fe8c9509599fae0d"/>
    <w:p>
      <w:pPr>
        <w:pStyle w:val="Heading4"/>
      </w:pPr>
      <w:r>
        <w:t xml:space="preserve">2.3.1 Tổng quan văn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Văn liệu IB đã ghi nhận không dưới năm dạng hàm khác nhau trong quan hệ giữa cường độ quốc tế hóa và hiệu quả doanh nghiệp. Sự đa dạng này không phải ngẫu nhiên mà phản ánh tính phụ thuộc ngữ cảnh của hiệu ứng quốc tế hóa.</w:t>
      </w:r>
    </w:p>
    <w:p>
      <w:pPr>
        <w:pStyle w:val="BodyText"/>
      </w:pPr>
      <w:r>
        <w:t xml:space="preserve">Dạng hàm thứ nhất —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tắt buộc —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I→P, cơ chế, và bối cảnh xuất hiện.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 quy mô —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I→P.</w:t>
      </w:r>
    </w:p>
    <w:p>
      <w:pPr>
        <w:pStyle w:val="BodyText"/>
      </w:pPr>
      <w:r>
        <w:t xml:space="preserve">Bausch và Krist (2007) phân tích 68 nghiên cứu (1980–2005) và tìm thấy trung bình r = 0,045 (không đáng kể), nhưng với biến động cao (SD = 0,21) —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p>
      <w:pPr>
        <w:pStyle w:val="BodyText"/>
      </w:pPr>
      <w:r>
        <w:t xml:space="preserve">Bảng 2.13. So sánh đặc điểm phương pháp và phạm vi lý thuyết của các khung tham chiếu chính và CĐ2.</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(20 năm)</w:t>
            </w:r>
          </w:p>
        </w:tc>
        <w:tc>
          <w:tcPr/>
          <w:p>
            <w:pPr>
              <w:pStyle w:val="Compact"/>
              <w:jc w:val="left"/>
            </w:pPr>
            <w:r>
              <w:t xml:space="preserve">✓ (EMNE/DMNE)</w:t>
            </w:r>
          </w:p>
        </w:tc>
        <w:tc>
          <w:tcPr/>
          <w:p>
            <w:pPr>
              <w:pStyle w:val="Compact"/>
              <w:jc w:val="left"/>
            </w:pPr>
            <w:r>
              <w:t xml:space="preserve">✗</w:t>
            </w:r>
          </w:p>
        </w:tc>
      </w:tr>
      <w:tr>
        <w:tc>
          <w:tcPr/>
          <w:p>
            <w:pPr>
              <w:pStyle w:val="Compact"/>
              <w:jc w:val="left"/>
            </w:pPr>
            <w:r>
              <w:t xml:space="preserve">Đỗ &amp; Phan (2026 — JFAR)</w:t>
            </w:r>
          </w:p>
        </w:tc>
        <w:tc>
          <w:tcPr/>
          <w:p>
            <w:pPr>
              <w:pStyle w:val="Compact"/>
              <w:jc w:val="left"/>
            </w:pPr>
            <w:r>
              <w:t xml:space="preserve">✓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 (H1: chữ U ngược + S-curve)</w:t>
            </w:r>
          </w:p>
        </w:tc>
        <w:tc>
          <w:tcPr/>
          <w:p>
            <w:pPr>
              <w:pStyle w:val="Compact"/>
              <w:jc w:val="left"/>
            </w:pPr>
            <w:r>
              <w:rPr>
                <w:bCs/>
                <w:b/>
              </w:rPr>
              <w:t xml:space="preserve">✓ (H2: nhân quả IV)</w:t>
            </w:r>
          </w:p>
        </w:tc>
        <w:tc>
          <w:tcPr/>
          <w:p>
            <w:pPr>
              <w:pStyle w:val="Compact"/>
              <w:jc w:val="left"/>
            </w:pPr>
            <w:r>
              <w:rPr>
                <w:bCs/>
                <w:b/>
              </w:rPr>
              <w:t xml:space="preserve">✓ (H3: CDCM phân biệt)</w:t>
            </w:r>
          </w:p>
        </w:tc>
        <w:tc>
          <w:tcPr/>
          <w:p>
            <w:pPr>
              <w:pStyle w:val="Compact"/>
              <w:jc w:val="left"/>
            </w:pPr>
            <w:r>
              <w:rPr>
                <w:bCs/>
                <w:b/>
              </w:rPr>
              <w:t xml:space="preserve">✓ (H4a–H4c)</w:t>
            </w:r>
          </w:p>
        </w:tc>
        <w:tc>
          <w:tcPr/>
          <w:p>
            <w:pPr>
              <w:pStyle w:val="Compact"/>
              <w:jc w:val="left"/>
            </w:pPr>
            <w:r>
              <w:rPr>
                <w:bCs/>
                <w:b/>
              </w:rPr>
              <w:t xml:space="preserve">✓ (H5: ICRV 6 nhóm)</w:t>
            </w:r>
          </w:p>
        </w:tc>
        <w:tc>
          <w:tcPr/>
          <w:p>
            <w:pPr>
              <w:pStyle w:val="Compact"/>
              <w:jc w:val="left"/>
            </w:pPr>
            <w:r>
              <w:rPr>
                <w:bCs/>
                <w:b/>
              </w:rPr>
              <w:t xml:space="preserve">✓ (H6: 3 giai đoạn)</w:t>
            </w:r>
          </w:p>
        </w:tc>
        <w:tc>
          <w:tcPr/>
          <w:p>
            <w:pPr>
              <w:pStyle w:val="Compact"/>
              <w:jc w:val="left"/>
            </w:pPr>
            <w:r>
              <w:rPr>
                <w:bCs/>
                <w:b/>
              </w:rPr>
              <w:t xml:space="preserve">✓ (Nhóm I→VI)</w:t>
            </w:r>
          </w:p>
        </w:tc>
        <w:tc>
          <w:tcPr/>
          <w:p>
            <w:pPr>
              <w:pStyle w:val="Compact"/>
              <w:jc w:val="left"/>
            </w:pPr>
            <w:r>
              <w:rPr>
                <w:bCs/>
                <w:b/>
              </w:rPr>
              <w:t xml:space="preserve">✓ (Nhóm VI FIP)</w:t>
            </w:r>
          </w:p>
        </w:tc>
      </w:tr>
    </w:tbl>
    <w:p>
      <w:pPr>
        <w:pStyle w:val="BodyText"/>
      </w:pPr>
      <w:r>
        <w:rPr>
          <w:iCs/>
          <w:i/>
        </w:rPr>
        <w:t xml:space="preserve">Ghi chú: ✓ =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under review):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 dương năm 2009 (β = 0,175), null năm 2015, có tương tác âm năm 2023 (FSTS_c×DAI_z = −0,912, p = 0,043); biến công cụ cho DAI null (β = 0,018, p = 0,942, F bậc một = 34,6) —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(§3.2–§3.3) và luận án (§4.5.1). Chuỗi M0–M7 trong Chuyên đề 2 là các mô hình cấp độ pool 47 quốc gia, khác với đặc tả cấp độ quốc gia của P3.</w:t>
      </w:r>
    </w:p>
    <w:p>
      <w:pPr>
        <w:pStyle w:val="BodyText"/>
      </w:pPr>
      <w:r>
        <w:t xml:space="preserve">P4 Singapore (Mar, Đỗ &amp; Phan, 2026, MIR under review): Phân tích 623 doanh nghiệp WBES 2023. Trong nền kinh tế số bão hòa, đường cong I→P chủ yếu dương — điểm uốn hàm ý ở FSTS khoảng 88,6% (vùng thưa dữ liệu; kiểm định Lind–Mehlum p = 0,303). DAI×FSTS² = +3,119 (p = 0,005) —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under review): Phân tích 4.559 doanh nghiệp WBES hai sóng (2012, 2024). Chữ U ngược bền vững cấu trúc — điểm uốn 49,4% (2012), 47,2% (2024), kiểm định Paternoster cho hệ số FSTS² không có sự khác biệt đáng kể (p = 0,545). TCI tăng cường theo thời gian (+0,260 → +0,426, Paternoster p = 0,011).</w:t>
      </w:r>
    </w:p>
    <w:p>
      <w:pPr>
        <w:pStyle w:val="BodyText"/>
      </w:pPr>
      <w:r>
        <w:t xml:space="preserve">Bảng 2.3. So sánh bằng chứng bốn bản thảo đồng hành.</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 JFAR) là bản thảo tiền thân đã công bố, tìm thấy bậc ba (cubic nonlinearity) trong mẫu SMEs Trung Quốc —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uốn phụ thuộc vào ICRV.</w:t>
      </w:r>
    </w:p>
    <w:bookmarkEnd w:id="36"/>
    <w:bookmarkEnd w:id="37"/>
    <w:bookmarkStart w:id="44" w:name="X6db6454cb7343cf63bbff81acf66665d04ccf29"/>
    <w:p>
      <w:pPr>
        <w:pStyle w:val="Heading4"/>
      </w:pPr>
      <w:r>
        <w:t xml:space="preserve">2.3.2 Khung lý thuyết tích hợp 4 tầng</w:t>
      </w:r>
    </w:p>
    <w:bookmarkStart w:id="38" w:name="tầng-1--lý-thuyết-quốc-tế-hóa-uppsala"/>
    <w:p>
      <w:pPr>
        <w:pStyle w:val="Heading5"/>
      </w:pPr>
      <w:r>
        <w:t xml:space="preserve">Tầng 1 —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8ece2e3529c502524817b2cb789dbe4387643af"/>
    <w:p>
      <w:pPr>
        <w:pStyle w:val="Heading5"/>
      </w:pPr>
      <w:r>
        <w:t xml:space="preserve">Tầng 2 —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 +0,426) ủng hộ TCI là nguồn lực VRIN bền vững.</w:t>
      </w:r>
    </w:p>
    <w:bookmarkEnd w:id="39"/>
    <w:bookmarkStart w:id="40" w:name="Xdfac8a2b424ed4182e1112636d8214b6ae10bd4"/>
    <w:p>
      <w:pPr>
        <w:pStyle w:val="Heading5"/>
      </w:pPr>
      <w:r>
        <w:t xml:space="preserve">Tầng 3 — Lý thuyết thể chế (Institutional Theory)</w:t>
      </w:r>
    </w:p>
    <w:p>
      <w:pPr>
        <w:pStyle w:val="FirstParagraph"/>
      </w:pPr>
      <w:r>
        <w:t xml:space="preserve">North (1990) định nghĩa thể chế là các quy tắc của trò chơi — chính thức (luật pháp, hợp đồng, quyền sở hữu) và phi chính thức (chuẩn mực, văn hóa, mạng lưới) — quy định chi phí giao dịch và rủi ro kinh doanh.</w:t>
      </w:r>
    </w:p>
    <w:p>
      <w:pPr>
        <w:pStyle w:val="BodyText"/>
      </w:pPr>
      <w:r>
        <w:t xml:space="preserve">Khanna và Palepu (2010) áp dụng lý thuyết thể chế cho thị trường mới nổi, đề xuất khái niệm khoảng trống thể chế —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 đo lường bằng đầu vào và đầu ra của hoạt động đổi mới (Tier 3–4); và áp dụng số nền tảng (DAI) gồm sử dụng hạ tầng số cơ bản (website, e-commerce, e-payment) — đo lường bằng Tier 1–2.</w:t>
      </w:r>
    </w:p>
    <w:p>
      <w:pPr>
        <w:pStyle w:val="BodyText"/>
      </w:pPr>
      <w:r>
        <w:t xml:space="preserve">Stallkamp và Schotter (2021) chứng minh rằng nền tảng số cho phép doanh nghiệp nhỏ ở thị trường mới nổi quốc tế hóa với chi phí gần bằng zero — thay đổi căn bản logic Uppsala.</w:t>
      </w:r>
    </w:p>
    <w:p>
      <w:pPr>
        <w:pStyle w:val="BodyText"/>
      </w:pPr>
      <w:r>
        <w:t xml:space="preserve">CDCM — Mô hình Áp dụng số và Năng lực phụ thuộc bối cảnh —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 câu hỏi phụ — biến số — giả thuyết —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 TCI (RBV/Lall, 1992) đóng vai trò nâng mặt bằng nhân quả; được hỗ trợ bởi hạ tầng số có điều kiện —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 gradient ICRV 6 nhóm với gánh nặng tắt buộc ở quốc đảo nhỏ; và thay đổi theo bối cảnh thời gian —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2ec1cc6dbd47f936660533e43094c590c9cc4f"/>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 Uppsala Model, Resource-Based View, Institutional Theory, Upper Echelons Theory và Foundational Digital Adoption Framework —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8" w:name="Xdc5423e7a0a0b2d3707e5b67f7523984c238683"/>
    <w:p>
      <w:pPr>
        <w:pStyle w:val="Heading5"/>
      </w:pPr>
      <w:r>
        <w:t xml:space="preserve">Hình 2.1 — Khung khái niệm tích hợp (tổng quan)</w:t>
      </w:r>
    </w:p>
    <w:p>
      <w:pPr>
        <w:pStyle w:val="FirstParagraph"/>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§2.3.4. Biến phụ thuộc (ln(Labour Productivity)) được xác định duy nhất ở cực phải. Biến độc lập (FSTS, FSTS²_c, FSTS³_c) ở cực trái. Năm nhóm biến điều tiết phân theo hai cấp: cấp doanh nghiệp (TCI — H2, DAI — H3, đặc điểm nhà quản trị — H4a–H4c) và cấp quốc gia (ICRV regime — H5, giai đoạn thời gian —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101.185 doanh nghiệp.</w:t>
      </w:r>
    </w:p>
    <w:bookmarkEnd w:id="48"/>
    <w:bookmarkStart w:id="52" w:name="hình-22--cơ-chế-cdcm-chi-tiết"/>
    <w:p>
      <w:pPr>
        <w:pStyle w:val="Heading5"/>
      </w:pPr>
      <w:r>
        <w:t xml:space="preserve">Hình 2.2 — Cơ chế CDCM chi tiết</w:t>
      </w:r>
    </w:p>
    <w:p>
      <w:pPr>
        <w:pStyle w:val="FirstParagraph"/>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 vai trò của DAI trong quan hệ I→P thay đổi theo regime thể chế và mức bão hòa số của nền kinh tế. Nhóm I (Singapore — Advanced I, bão hòa số cao): DAI Tier-1+2 vận hành như nguồn lực khuếch đại tình huống — tác động chỉ xuất hiện khi cường độ xuất khẩu đạt ngưỡng cao (FSTS²×DAI = +3,119; P4). Nhóm IV (Việt Nam — Lower_mid_transition, bão hòa số thấp; Nhóm IV trong cả hệ 5 nhóm P6 lẫn hệ 6 nhóm CD2): DAI Tier-1 là ràng buộc đo lường; tác động dương theo OLS nhưng biến mất sau hiệu chỉnh nội sinh biến công cụ (β = 0,018, p = 0,942; P3). Nhóm III (Trung Quốc — Upper-Middle/Emerging transition, bão hòa số trung bình): DAI Tier-1 phổ biến &gt;60% — mất khả năng phân biệt, giữ như biến kiểm soát không phải biến điều tiết (P5). Cơ chế này giải thích tại sao kết quả "DAI null" và "DAI dương" đều nhất quán với lý thuyết CDCM — khác nhau ở điều kiện bối cảnh, không mâu thuẫn về lý thuyết nền tảng.</w:t>
      </w:r>
    </w:p>
    <w:bookmarkEnd w:id="52"/>
    <w:bookmarkStart w:id="53" w:name="bảng-24--mapping-biến-đầy-đủ"/>
    <w:p>
      <w:pPr>
        <w:pStyle w:val="Heading5"/>
      </w:pPr>
      <w:r>
        <w:t xml:space="preserve">Bảng 2.4 — Mapping biến đầy đủ</w:t>
      </w:r>
    </w:p>
    <w:p>
      <w:pPr>
        <w:pStyle w:val="FirstParagraph"/>
      </w:pPr>
      <w:r>
        <w:t xml:space="preserve">Bảng 2.4. Mapping biến đầy đủ: khái niệm lý thuyết — biến WBES — kỳ vọng dấu — giả thuyết.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 FSTS² để giảm đa cộng tuyến.</w:t>
      </w:r>
    </w:p>
    <w:bookmarkEnd w:id="53"/>
    <w:bookmarkEnd w:id="54"/>
    <w:bookmarkStart w:id="63" w:name="X06e1038a517412390e729f6b4e28e81b8d64800"/>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văn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55"/>
    <w:bookmarkStart w:id="56" w:name="h1--phi-tuyến-trong-quan-hệ-ip"/>
    <w:p>
      <w:pPr>
        <w:pStyle w:val="Heading5"/>
      </w:pPr>
      <w:r>
        <w:t xml:space="preserve">H1 —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khác nhau theo chế độ: Nhóm I có điểm uốn cao (~85%) do hạ tầng số giảm chi phí điều phối; Nhóm IV có điểm uốn trung bình (39–46%); Nhóm III có điểm uốn trung bình–cao (47–49%). Nhóm VI có pattern gánh nặng tắt buộc — không có chữ U ngược điển hình.</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 chủ yếu dương, điểm uốn ~88,6% (gần trần).</w:t>
      </w:r>
    </w:p>
    <w:p>
      <w:pPr>
        <w:pStyle w:val="BodyText"/>
      </w:pPr>
      <w:r>
        <w:t xml:space="preserve">H1: Quan hệ giữa cường độ quốc tế hóa (FSTS) và hiệu quả doanh nghiệp (ln LP) có dạng phi tuyến, với β₁(FSTS) &gt; 0 và β₂(FSTS²) &lt; 0, phản ánh chữ U ngược ở phần lớn các chế độ ICRV. Điểm uốn dịch chuyển theo gradient ICRV: cao nhất ở Nhóm I, thấp nhất ở Nhóm IV, với Nhóm VI có pattern gánh nặng tắt buộc.</w:t>
      </w:r>
    </w:p>
    <w:p>
      <w:pPr>
        <w:pStyle w:val="BodyText"/>
      </w:pPr>
      <w:r>
        <w:t xml:space="preserve">H1a (biên tham gia): Bước chuyển từ không xuất khẩu (FSTS = 0) sang xuất khẩu (FSTS &gt; 0) tạo ra mức tăng năng suất lao động đáng kể và dương — tác động tham gia thị trường xuất khẩu là động lực chính của hiệu ứng I→P.</w:t>
      </w:r>
    </w:p>
    <w:p>
      <w:pPr>
        <w:pStyle w:val="BodyText"/>
      </w:pPr>
      <w:r>
        <w:t xml:space="preserve">H1b (biên cường độ — gần phẳng): Trong mẫu chỉ gồm doanh nghiệp xuất khẩu, đường cong I→P gần phẳng — tức là sau khi đã xuất khẩu, việc tăng cường độ tiếp theo không tạo thêm nhiều lợi ích năng suất nếu không có TCI và DAI đủ mạnh.</w:t>
      </w:r>
    </w:p>
    <w:bookmarkEnd w:id="56"/>
    <w:bookmarkStart w:id="57" w:name="h2--tci-điều-tiết-tích-cực-nâng-mặt-bằng"/>
    <w:p>
      <w:pPr>
        <w:pStyle w:val="Heading5"/>
      </w:pPr>
      <w:r>
        <w:t xml:space="preserve">H2 — TCI điều tiết tích cực (nâng mặt bằng)</w:t>
      </w:r>
    </w:p>
    <w:p>
      <w:pPr>
        <w:pStyle w:val="FirstParagraph"/>
      </w:pPr>
      <w:r>
        <w:t xml:space="preserve">Cơ sở lý thuyết: RBV (Barney, 1991) cho rằng nguồn lực VRIN tạo lợi thế cạnh tranh bền vững. TCI — năng lực công nghệ nội tại — là nguồn lực VRIN theo Lall (1992) và tích lũy năng lực hấp thụ theo Cohen và Levinthal (1990). Doanh nghiệp có TCI cao: hấp thụ tri thức từ thị trường nước ngoài hiệu quả hơn; có công nghệ sản xuất tiên tiến hơn — năng suất cao hơn ở mọi mức FSTS; và có thể duy trì hiệu quả ở FSTS cao hơn. Cơ chế chính là nâng mặt bằng (level-shift) —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 TCI là nhân quả. P5 Trung Quốc: β_z(TCI) tăng từ +0,260 (2012) → +0,426 (2024), Paternoster z = −2,55 (p = 0,011) — TCI nâng mặt bằng tăng cường theo thời gian. P4 Singapore: β(TCI) = +0,153 (p &lt; 0,01), không điều tiết độ cong —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0516cda47fb7e119b35b670f6b14c3b43dbbdc7"/>
    <w:p>
      <w:pPr>
        <w:pStyle w:val="Heading5"/>
      </w:pPr>
      <w:r>
        <w:t xml:space="preserve">H3a–H3b —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 DAI mở rộng tình huống có điều kiện. P3 Việt Nam: biến công cụ null β = 0,018 (p = 0,942) — OLS dương = phụ thuộc chọn lựa, không nhân quả. P5 Trung Quốc: không điều tiết độ cong.</w:t>
      </w:r>
    </w:p>
    <w:p>
      <w:pPr>
        <w:pStyle w:val="BodyText"/>
      </w:pPr>
      <w:r>
        <w:t xml:space="preserve">Bảng 2.6. CDCM — Dự đoán tác động DAI theo 3 chiều ngữ cảnh.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tắt buộc (&gt;40%)</w:t>
            </w:r>
          </w:p>
        </w:tc>
        <w:tc>
          <w:tcPr/>
          <w:p>
            <w:pPr>
              <w:pStyle w:val="Compact"/>
              <w:jc w:val="left"/>
            </w:pPr>
            <w:r>
              <w:t xml:space="preserve">Thấp–trung</w:t>
            </w:r>
          </w:p>
        </w:tc>
        <w:tc>
          <w:tcPr/>
          <w:p>
            <w:pPr>
              <w:pStyle w:val="Compact"/>
              <w:jc w:val="left"/>
            </w:pPr>
            <w:r>
              <w:t xml:space="preserve">Gánh nặng tắt buộc trội</w:t>
            </w:r>
          </w:p>
        </w:tc>
        <w:tc>
          <w:tcPr/>
          <w:p>
            <w:pPr>
              <w:pStyle w:val="Compact"/>
              <w:jc w:val="left"/>
            </w:pPr>
            <w:r>
              <w:t xml:space="preserve">—</w:t>
            </w:r>
          </w:p>
        </w:tc>
        <w:tc>
          <w:tcPr/>
          <w:p>
            <w:pPr>
              <w:pStyle w:val="Compact"/>
              <w:jc w:val="left"/>
            </w:pPr>
            <w:r>
              <w:t xml:space="preserve">I→P gánh nặng tắt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 Nhóm III–V): Trong các nền kinh tế đang nổi và cận biên, DAI điều tiết tích cực quan hệ FSTS → ln(LP): β(FSTS×DAI) &gt; 0 và/hoặc β(FSTS²×DAI) &gt; 0. Cơ chế: DAI giảm khoảng cách tâm lý, mở rộng tiếp cận thị trường ảo, và tăng năng lực điều phối ở những bối cảnh mà website presence vẫn là tín hiệu phân biệt (chưa bão hòa).</w:t>
      </w:r>
    </w:p>
    <w:p>
      <w:pPr>
        <w:pStyle w:val="BodyText"/>
      </w:pPr>
      <w:r>
        <w:rPr>
          <w:bCs/>
          <w:b/>
        </w:rPr>
        <w:t xml:space="preserve">H3b</w:t>
      </w:r>
      <w:r>
        <w:t xml:space="preserve"> </w:t>
      </w:r>
      <w:r>
        <w:t xml:space="preserve">(Advanced — Nhóm I–II): Trong các nền kinh tế tiên tiến, tác động trực tiếp không điều kiện của DAI lên ln(LP) có thể null hoặc âm do bão hòa số và single-component measurement (chỉ website binary — Tier-1 proxy —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 H3c: β(TCI) ≠ β(DAI) và hai cấu trúc thỏa mãn tiêu chí discriminant validity).</w:t>
      </w:r>
    </w:p>
    <w:bookmarkEnd w:id="58"/>
    <w:bookmarkStart w:id="59" w:name="h4ah4c--đặc-điểm-nhà-quản-trị-điều-tiết"/>
    <w:p>
      <w:pPr>
        <w:pStyle w:val="Heading5"/>
      </w:pPr>
      <w:r>
        <w:t xml:space="preserve">H4a–H4c — Đặc điểm nhà quản trị điều tiết</w:t>
      </w:r>
    </w:p>
    <w:p>
      <w:pPr>
        <w:pStyle w:val="FirstParagraph"/>
      </w:pPr>
      <w:r>
        <w:t xml:space="preserve">Cơ sở lý thuyết: Upper Echelons Theory (Hambrick &amp; Mason, 1984; Hambrick, 2007) cho rằng quyết định chiến lược phản ánh đặc điểm nhân khẩu học của nhà quản trị cấp cao —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 đại diện cho năng lực nhận thức và khả năng tiếp thu kinh nghiệm quốc tế — điều tiết tích cực quan hệ FSTS →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 kiểm định khám phá, không đặt dấu kỳ vọng tiên nghiệm; kiểm định two-sided. Bằng chứng trong văn liệu Upper Echelons không đồng nhất về chiều hướng cho châu Á (Hambrick, 2007); H4c vì vậy là exploratory.</w:t>
      </w:r>
    </w:p>
    <w:p>
      <w:pPr>
        <w:pStyle w:val="BodyText"/>
      </w:pPr>
      <w:r>
        <w:t xml:space="preserve">Phạm vi kiểm định: H4a–H4b là biến đại diện (proxy) cho cơ chế Upper Echelons — kết quả là chỉ báo gián tiếp, không phải kiểm định trực tiếp cấu trúc lý thuyết gốc. Hạn chế này cần được thừa nhận rõ trong phần thảo luận kết quả.</w:t>
      </w:r>
    </w:p>
    <w:bookmarkEnd w:id="59"/>
    <w:bookmarkStart w:id="60" w:name="h5--thể-chế-icrv-điều-tiết-theo-gradient"/>
    <w:p>
      <w:pPr>
        <w:pStyle w:val="Heading5"/>
      </w:pPr>
      <w:r>
        <w:t xml:space="preserve">H5 —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 tất cả ảnh hưởng đến hiệu quả của quốc tế hóa. Ba cơ chế độc lập giải thích tại sao thể chế tốt hơn tạo ra điểm uốn cao hơn: (A) thực thi hợp đồng — giảm chi phí đại diện trong chuỗi cung ứng quốc tế; (B) phát triển thị trường tài chính — cho phép huy động vốn cho vốn lưu động quốc tế; (C) chất lượng quy định —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t xml:space="preserve">~75–90% FSTS</w:t>
            </w:r>
          </w:p>
        </w:tc>
        <w:tc>
          <w:tcPr/>
          <w:p>
            <w:pPr>
              <w:pStyle w:val="Compact"/>
              <w:jc w:val="left"/>
            </w:pPr>
            <w:r>
              <w:t xml:space="preserve">P4 Singapore TP ~88,6%</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~45–55% FSTS</w:t>
            </w:r>
          </w:p>
        </w:tc>
        <w:tc>
          <w:tcPr/>
          <w:p>
            <w:pPr>
              <w:pStyle w:val="Compact"/>
              <w:jc w:val="left"/>
            </w:pPr>
            <w:r>
              <w:t xml:space="preserve">P5 Trung Quốc TP 47–49%</w:t>
            </w:r>
          </w:p>
        </w:tc>
      </w:tr>
      <w:tr>
        <w:tc>
          <w:tcPr/>
          <w:p>
            <w:pPr>
              <w:pStyle w:val="Compact"/>
              <w:jc w:val="left"/>
            </w:pPr>
            <w:r>
              <w:t xml:space="preserve">Nhóm IV (đang nổi)</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(cận biên)</w:t>
            </w:r>
          </w:p>
        </w:tc>
        <w:tc>
          <w:tcPr/>
          <w:p>
            <w:pPr>
              <w:pStyle w:val="Compact"/>
              <w:jc w:val="left"/>
            </w:pPr>
            <w:r>
              <w:t xml:space="preserve">~20–35% FSTS</w:t>
            </w:r>
          </w:p>
        </w:tc>
        <w:tc>
          <w:tcPr/>
          <w:p>
            <w:pPr>
              <w:pStyle w:val="Compact"/>
              <w:jc w:val="left"/>
            </w:pPr>
            <w:r>
              <w:t xml:space="preserve">Khoảng trống thể chế → trần thấp</w:t>
            </w:r>
          </w:p>
        </w:tc>
      </w:tr>
      <w:tr>
        <w:tc>
          <w:tcPr/>
          <w:p>
            <w:pPr>
              <w:pStyle w:val="Compact"/>
              <w:jc w:val="left"/>
            </w:pPr>
            <w:r>
              <w:t xml:space="preserve">Nhóm VI (SIDS)</w:t>
            </w:r>
          </w:p>
        </w:tc>
        <w:tc>
          <w:tcPr/>
          <w:p>
            <w:pPr>
              <w:pStyle w:val="Compact"/>
              <w:jc w:val="left"/>
            </w:pPr>
            <w:r>
              <w:t xml:space="preserve">Không có TP / gánh nặng tắt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 III → IV → V; Nhóm VI có pattern gánh nặng tắt buộc. Điểm uốn tăng đơn điệu theo gradient từ Nhóm VI đến Nhóm I.</w:t>
      </w:r>
    </w:p>
    <w:bookmarkEnd w:id="60"/>
    <w:bookmarkStart w:id="61" w:name="h6--tính-không-đồng-nhất-theo-thời-gian"/>
    <w:p>
      <w:pPr>
        <w:pStyle w:val="Heading5"/>
      </w:pPr>
      <w:r>
        <w:t xml:space="preserve">H6 —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 quan hệ I→P dịch chuyển đáng kể. P5 Trung Quốc: TCI Paternoster p = 0,011 — hiệu ứng TCI tăng cường 2012→2024. P5 Trung Quốc: FSTS Paternoster p = 0,545 —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 tóm tắt cơ chế, biến, kỳ vọng, và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 +0,426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tắt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Chín giả thuyết (H1a–H1b, H2, H3a–H3b với H3c distinctiveness, H4a–H4c, H5, H6) tạo thành hệ thống logic nhất quán: H1a/H1b (phi tuyến — biên tham gia vs biên cường độ) là trọng tâm; H2 (TCI nâng mặt bằng) và H3a/H3b (DAI phụ thuộc regime) phân rã cơ chế năng lực doanh nghiệp với dấu kỳ vọng khác nhau theo ngữ cảnh; H4a–H4c (Quản trị) bổ sung tầng Upper Echelons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 câu hỏi chưa được trả lời trong bất kỳ nghiên cứu I→P nào trước đây.</w:t>
      </w:r>
    </w:p>
    <w:bookmarkEnd w:id="62"/>
    <w:bookmarkEnd w:id="63"/>
    <w:bookmarkStart w:id="74" w:name="Xddbf6d90ba3605bd9c97fdd0a837b1ed2b589e3"/>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 Baseline tuyến tính</w:t>
      </w:r>
    </w:p>
    <w:p>
      <w:pPr>
        <w:pStyle w:val="FirstParagraph"/>
      </w:pPr>
      <w:r>
        <w:t xml:space="preserve">\begin{equation}</w:t>
      </w:r>
      <w:r>
        <w:t xml:space="preserve"> </w:t>
      </w:r>
      <w:r>
        <w:t xml:space="preserve">\ln(\mathrm{LP})_i = \beta_0 + \beta_1 \cdot \mathit{FSTS}_i + \boldsymbol{\gamma}'\mathbf{X}_i + \alpha_j + \delta_t + \varepsilon_i</w:t>
      </w:r>
      <w:r>
        <w:t xml:space="preserve"> </w:t>
      </w:r>
      <w:r>
        <w:t xml:space="preserve">\label{eq:M0}</w:t>
      </w:r>
      <w:r>
        <w:t xml:space="preserve"> </w:t>
      </w:r>
      <w:r>
        <w:t xml:space="preserve">\end{equation}</w:t>
      </w:r>
    </w:p>
    <w:p>
      <w:pPr>
        <w:pStyle w:val="BodyText"/>
      </w:pPr>
      <w:r>
        <w:t xml:space="preserve">Mục đích: thiết lập baseline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 cung cấp ước lượng cận dưới cho tác động quốc tế hóa.</w:t>
      </w:r>
    </w:p>
    <w:bookmarkEnd w:id="65"/>
    <w:bookmarkStart w:id="66" w:name="X47a362c1312a55af0e7fdcd5a1b0398406d4027"/>
    <w:p>
      <w:pPr>
        <w:pStyle w:val="Heading5"/>
      </w:pPr>
      <w:r>
        <w:t xml:space="preserve">M1 — Chữ U ngược bậc hai (kiểm định H1 bậc hai)</w:t>
      </w:r>
    </w:p>
    <w:p>
      <w:pPr>
        <w:pStyle w:val="FirstParagraph"/>
      </w:pPr>
      <w:r>
        <w:t xml:space="preserve">\begin{equation}</w:t>
      </w:r>
      <w:r>
        <w:t xml:space="preserve"> </w:t>
      </w:r>
      <w:r>
        <w:t xml:space="preserve">\ln(\mathrm{LP})</w:t>
      </w:r>
      <w:r>
        <w:rPr>
          <w:iCs/>
          <w:i/>
        </w:rPr>
        <w:t xml:space="preserve">i = \beta_0 + \beta_1 \cdot \mathit{FSTS}</w:t>
      </w:r>
      <w:r>
        <w:t xml:space="preserve">{c,i} + \beta_2 \cdot \mathit{FSTS}_{c,i}^{2} + \boldsymbol{\gamma}'\mathbf{X}_i + \alpha_j + \delta_t + \varepsilon_i</w:t>
      </w:r>
      <w:r>
        <w:t xml:space="preserve"> </w:t>
      </w:r>
      <w:r>
        <w:t xml:space="preserve">\label{eq:M1}</w:t>
      </w:r>
      <w:r>
        <w:t xml:space="preserve"> </w:t>
      </w:r>
      <w:r>
        <w:t xml:space="preserve">\end{equation}</w:t>
      </w:r>
    </w:p>
    <w:p>
      <w:pPr>
        <w:pStyle w:val="BodyText"/>
      </w:pPr>
      <w:r>
        <w:t xml:space="preserve">Mục đích: kiểm định chữ U ngược trong H1 — dạng hàm phổ biến nhất trong văn liệu.</w:t>
      </w:r>
      <w:r>
        <w:t xml:space="preserve"> </w:t>
      </w:r>
      <w:r>
        <w:t xml:space="preserve">Kỳ vọng: β₁ &gt; 0, β₂ &lt; 0.</w:t>
      </w:r>
      <w:r>
        <w:t xml:space="preserve"> </w:t>
      </w:r>
      <w:r>
        <w:t xml:space="preserve">Điểm uốn: TP₁ = −β₁/(2β₂) —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 S-curve bậc ba (kiểm định H1 đầy đủ)</w:t>
      </w:r>
    </w:p>
    <w:p>
      <w:pPr>
        <w:pStyle w:val="FirstParagraph"/>
      </w:pPr>
      <w:r>
        <w:t xml:space="preserve">\begin{equation}</w:t>
      </w:r>
      <w:r>
        <w:t xml:space="preserve"> </w:t>
      </w:r>
      <w:r>
        <w:t xml:space="preserve">\ln(\mathrm{LP})</w:t>
      </w:r>
      <w:r>
        <w:rPr>
          <w:iCs/>
          <w:i/>
        </w:rPr>
        <w:t xml:space="preserve">i = \beta_0 + \beta_1 \cdot \mathit{FSTS}</w:t>
      </w:r>
      <w:r>
        <w:t xml:space="preserve">{c,i} + \beta_2 \cdot \mathit{FSTS}</w:t>
      </w:r>
      <w:r>
        <w:rPr>
          <w:iCs/>
          <w:i/>
        </w:rPr>
        <w:t xml:space="preserve">{c,i}^{2} + \beta_3 \cdot \mathit{FSTS}</w:t>
      </w:r>
      <w:r>
        <w:t xml:space="preserve">{c,i}^{3} + \boldsymbol{\gamma}'\mathbf{X}_i + \alpha_j + \delta_t + \varepsilon_i</w:t>
      </w:r>
      <w:r>
        <w:t xml:space="preserve"> </w:t>
      </w:r>
      <w:r>
        <w:t xml:space="preserve">\label{eq:M2}</w:t>
      </w:r>
      <w:r>
        <w:t xml:space="preserve"> </w:t>
      </w:r>
      <w:r>
        <w:t xml:space="preserve">\end{equation}</w:t>
      </w: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7"/>
    <w:bookmarkStart w:id="68" w:name="m3---điều-tiết-tci-kiểm-định-h2"/>
    <w:p>
      <w:pPr>
        <w:pStyle w:val="Heading5"/>
      </w:pPr>
      <w:r>
        <w:t xml:space="preserve">M3 — + Điều tiết TCI (kiểm định H2)</w:t>
      </w:r>
    </w:p>
    <w:p>
      <w:pPr>
        <w:pStyle w:val="FirstParagraph"/>
      </w:pPr>
      <w:r>
        <w:t xml:space="preserve">\begin{align}</w:t>
      </w:r>
      <w:r>
        <w:t xml:space="preserve"> </w:t>
      </w:r>
      <w:r>
        <w:t xml:space="preserve">\ln(\mathrm{LP})</w:t>
      </w:r>
      <w:r>
        <w:rPr>
          <w:iCs/>
          <w:i/>
        </w:rPr>
        <w:t xml:space="preserve">i &amp;= \underbrace{\beta_0 + \beta_1,\mathit{FSTS}</w:t>
      </w:r>
      <w:r>
        <w:t xml:space="preserve">{c,i} + \beta_2,\mathit{FSTS}</w:t>
      </w:r>
      <w:r>
        <w:rPr>
          <w:iCs/>
          <w:i/>
        </w:rPr>
        <w:t xml:space="preserve">{c,i}^{2}}</w:t>
      </w:r>
      <w:r>
        <w:t xml:space="preserve">{M1} \notag \</w:t>
      </w:r>
      <w:r>
        <w:t xml:space="preserve"> </w:t>
      </w:r>
      <w:r>
        <w:t xml:space="preserve">&amp;\quad + \beta_3 \cdot \mathrm{TCI}</w:t>
      </w:r>
      <w:r>
        <w:rPr>
          <w:iCs/>
          <w:i/>
        </w:rPr>
        <w:t xml:space="preserve">i + \beta_4 \cdot (\mathit{FSTS}</w:t>
      </w:r>
      <w:r>
        <w:t xml:space="preserve">{c,i} \times \mathrm{TCI}</w:t>
      </w:r>
      <w:r>
        <w:rPr>
          <w:iCs/>
          <w:i/>
        </w:rPr>
        <w:t xml:space="preserve">i) + \beta_5 \cdot (\mathit{FSTS}</w:t>
      </w:r>
      <w:r>
        <w:t xml:space="preserve">{c,i}^{2} \times \mathrm{TCI}_i) \notag \</w:t>
      </w:r>
      <w:r>
        <w:t xml:space="preserve"> </w:t>
      </w:r>
      <w:r>
        <w:t xml:space="preserve">&amp;\quad + \boldsymbol{\gamma}'\mathbf{X}_i + \alpha_j + \delta_t + \varepsilon_i</w:t>
      </w:r>
      <w:r>
        <w:t xml:space="preserve"> </w:t>
      </w:r>
      <w:r>
        <w:t xml:space="preserve">\label{eq:M3}</w:t>
      </w:r>
      <w:r>
        <w:t xml:space="preserve"> </w:t>
      </w:r>
      <w:r>
        <w:t xml:space="preserve">\end{align}</w:t>
      </w:r>
    </w:p>
    <w:p>
      <w:pPr>
        <w:pStyle w:val="BodyText"/>
      </w:pPr>
      <w:r>
        <w:t xml:space="preserve">Mục đích: kiểm định H2 —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0,10 → TCI là nâng mặt bằng thuần túy.</w:t>
      </w:r>
    </w:p>
    <w:bookmarkEnd w:id="68"/>
    <w:bookmarkStart w:id="69" w:name="m4---điều-tiết-dai-kiểm-định-h3"/>
    <w:p>
      <w:pPr>
        <w:pStyle w:val="Heading5"/>
      </w:pPr>
      <w:r>
        <w:t xml:space="preserve">M4 — + Điều tiết DAI (kiểm định H3)</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\mathrm{DAI}</w:t>
      </w:r>
      <w:r>
        <w:rPr>
          <w:iCs/>
          <w:i/>
        </w:rPr>
        <w:t xml:space="preserve">i + \beta_4 \cdot (\mathit{FSTS}</w:t>
      </w:r>
      <w:r>
        <w:t xml:space="preserve">{c,i} \times \mathrm{DAI}</w:t>
      </w:r>
      <w:r>
        <w:rPr>
          <w:iCs/>
          <w:i/>
        </w:rPr>
        <w:t xml:space="preserve">i) + \beta_5 \cdot (\mathit{FSTS}</w:t>
      </w:r>
      <w:r>
        <w:t xml:space="preserve">{c,i}^{2} \times \mathrm{DAI}_i) \notag \</w:t>
      </w:r>
      <w:r>
        <w:t xml:space="preserve"> </w:t>
      </w:r>
      <w:r>
        <w:t xml:space="preserve">&amp;\quad + \boldsymbol{\gamma}'\mathbf{X}_i + \alpha_j + \delta_t + \varepsilon_i</w:t>
      </w:r>
      <w:r>
        <w:t xml:space="preserve"> </w:t>
      </w:r>
      <w:r>
        <w:t xml:space="preserve">\label{eq:M4}</w:t>
      </w:r>
      <w:r>
        <w:t xml:space="preserve"> </w:t>
      </w:r>
      <w:r>
        <w:t xml:space="preserve">\end{align}</w:t>
      </w:r>
    </w:p>
    <w:p>
      <w:pPr>
        <w:pStyle w:val="BodyText"/>
      </w:pPr>
      <w:r>
        <w:t xml:space="preserve">Mục đích: kiểm định H3 — DAI là nguồn lực mở rộng tình huống.</w:t>
      </w:r>
      <w:r>
        <w:t xml:space="preserve"> </w:t>
      </w:r>
      <w:r>
        <w:t xml:space="preserve">Kỳ vọng: β₅(FSTS²×DAI) &gt; 0 trong Nhóm I (nhất quán P4 Singapore +3,119); β₃(DAI trực tiếp) →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06f71524788155e2ebf216bcee5f2e32a6c0cd5"/>
    <w:p>
      <w:pPr>
        <w:pStyle w:val="Heading5"/>
      </w:pPr>
      <w:r>
        <w:t xml:space="preserve">M5 — + Điều tiết nhà quản trị (kiểm định H4a/H4b/H4c)</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\mathit{Manager}</w:t>
      </w:r>
      <w:r>
        <w:rPr>
          <w:iCs/>
          <w:i/>
        </w:rPr>
        <w:t xml:space="preserve">i + \beta_4 \cdot (\mathit{FSTS}</w:t>
      </w:r>
      <w:r>
        <w:t xml:space="preserve">{c,i} \times \mathit{Manager}_i) \notag \</w:t>
      </w:r>
      <w:r>
        <w:t xml:space="preserve"> </w:t>
      </w:r>
      <w:r>
        <w:t xml:space="preserve">&amp;\quad + \boldsymbol{\gamma}'\mathbf{X}_i + \alpha_j + \delta_t + \varepsilon_i</w:t>
      </w:r>
      <w:r>
        <w:t xml:space="preserve"> </w:t>
      </w:r>
      <w:r>
        <w:t xml:space="preserve">\label{eq:M5}</w:t>
      </w:r>
      <w:r>
        <w:t xml:space="preserve"> </w:t>
      </w:r>
      <w:r>
        <w:t xml:space="preserve">\end{align}</w:t>
      </w:r>
    </w:p>
    <w:p>
      <w:pPr>
        <w:pStyle w:val="BodyText"/>
      </w:pPr>
      <w:r>
        <w:t xml:space="preserve">Biến Manager theo thứ tự ưu tiên: exp_manager (b5, H4a) — biến chính với kỳ vọng β₄ &gt; 0; educ_manager (b7a, H4b) — biến phụ với kỳ vọng β₄ &gt; 0; gender_manager (b7, H4c) — khám phá, kiểm định two-sided.</w:t>
      </w:r>
      <w:r>
        <w:t xml:space="preserve"> </w:t>
      </w:r>
      <w:r>
        <w:t xml:space="preserve">Kỳ vọng: β₄(FSTS×exp_manager) &gt; 0 [H4a]; β₄(FSTS×educ_manager) &gt; 0 [H4b]; β₄(FSTS×gender_manager) — không có kỳ vọng tiên nghiệm [H4c].</w:t>
      </w:r>
    </w:p>
    <w:bookmarkEnd w:id="70"/>
    <w:bookmarkStart w:id="71" w:name="m6---chế-độ-thể-chế-icrv-kiểm-định-h5"/>
    <w:p>
      <w:pPr>
        <w:pStyle w:val="Heading5"/>
      </w:pPr>
      <w:r>
        <w:t xml:space="preserve">M6 — + Chế độ thể chế ICRV (kiểm định H5)</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\sum_{j=2}^{6} \Bigl[\beta_{3j} \cdot \mathrm{ICRV}</w:t>
      </w:r>
      <w:r>
        <w:rPr>
          <w:iCs/>
          <w:i/>
        </w:rPr>
        <w:t xml:space="preserve">{j,i}</w:t>
      </w:r>
      <w:r>
        <w:rPr>
          <w:iCs/>
          <w:i/>
        </w:rPr>
        <w:t xml:space="preserve"> </w:t>
      </w:r>
      <w:r>
        <w:rPr>
          <w:iCs/>
          <w:i/>
        </w:rPr>
        <w:t xml:space="preserve">+ \beta</w:t>
      </w:r>
      <w:r>
        <w:t xml:space="preserve">{4j} \cdot (\mathit{FSTS}</w:t>
      </w:r>
      <w:r>
        <w:rPr>
          <w:iCs/>
          <w:i/>
        </w:rPr>
        <w:t xml:space="preserve">{c,i} \times \mathrm{ICRV}</w:t>
      </w:r>
      <w:r>
        <w:t xml:space="preserve">{j,i})</w:t>
      </w:r>
      <w:r>
        <w:t xml:space="preserve"> </w:t>
      </w:r>
      <w:r>
        <w:t xml:space="preserve">+ \beta_{5j} \cdot (\mathit{FSTS}</w:t>
      </w:r>
      <w:r>
        <w:rPr>
          <w:iCs/>
          <w:i/>
        </w:rPr>
        <w:t xml:space="preserve">{c,i}^{2} \times \mathrm{ICRV}</w:t>
      </w:r>
      <w:r>
        <w:t xml:space="preserve">{j,i})\Bigr] \notag \</w:t>
      </w:r>
      <w:r>
        <w:t xml:space="preserve"> </w:t>
      </w:r>
      <w:r>
        <w:t xml:space="preserve">&amp;\quad + \boldsymbol{\gamma}'\mathbf{X}_i + \delta_t + \varepsilon_i</w:t>
      </w:r>
      <w:r>
        <w:t xml:space="preserve"> </w:t>
      </w:r>
      <w:r>
        <w:t xml:space="preserve">\label{eq:M6}</w:t>
      </w:r>
      <w:r>
        <w:t xml:space="preserve"> </w:t>
      </w:r>
      <w:r>
        <w:t xml:space="preserve">\end{align}</w:t>
      </w:r>
    </w:p>
    <w:p>
      <w:pPr>
        <w:pStyle w:val="BodyText"/>
      </w:pPr>
      <w:r>
        <w:t xml:space="preserve">Mục đích: kiểm định H5 — gradient ICRV và gánh nặng tắt buộc (Nhóm VI).</w:t>
      </w:r>
      <w:r>
        <w:t xml:space="preserve"> </w:t>
      </w:r>
      <w:r>
        <w:t xml:space="preserve">Nhóm tham chiếu: Nhóm I (tiên tiến đổi mới).</w:t>
      </w:r>
      <w:r>
        <w:t xml:space="preserve"> </w:t>
      </w:r>
      <w:r>
        <w:t xml:space="preserve">Kỳ vọng: điểm uốn giảm dần theo j (Nhóm II → III → IV → V → VI); Nhóm VI có β(FSTS×ICRV_VI) ≤ 0.</w:t>
      </w:r>
      <w:r>
        <w:t xml:space="preserve"> </w:t>
      </w:r>
      <w:r>
        <w:t xml:space="preserve">Lưu ý: Country FE bị omit trong M6 do ICRV_j là biến cấp quốc gia bất biến theo thời gian — thay bằng Year FE + Region FE (6 vùng).</w:t>
      </w:r>
    </w:p>
    <w:bookmarkEnd w:id="71"/>
    <w:bookmarkStart w:id="72" w:name="X6b4e30438e556ccb1a096b5b5260c191a2952a4"/>
    <w:p>
      <w:pPr>
        <w:pStyle w:val="Heading5"/>
      </w:pPr>
      <w:r>
        <w:t xml:space="preserve">M7 — Điều tiết ba chiều tổng lực (kiểm định H2 + H3 + H6 đồng thời)</w:t>
      </w:r>
    </w:p>
    <w:p>
      <w:pPr>
        <w:pStyle w:val="FirstParagraph"/>
      </w:pPr>
      <w:r>
        <w:t xml:space="preserve">\begin{align}</w:t>
      </w:r>
      <w:r>
        <w:t xml:space="preserve"> </w:t>
      </w:r>
      <w:r>
        <w:t xml:space="preserve">\ln(\mathrm{LP})</w:t>
      </w:r>
      <w:r>
        <w:rPr>
          <w:iCs/>
          <w:i/>
        </w:rPr>
        <w:t xml:space="preserve">i</w:t>
      </w:r>
      <w:r>
        <w:rPr>
          <w:iCs/>
          <w:i/>
        </w:rPr>
        <w:t xml:space="preserve"> </w:t>
      </w:r>
      <w:r>
        <w:rPr>
          <w:iCs/>
          <w:i/>
        </w:rPr>
        <w:t xml:space="preserve">&amp;= \beta_0 + \beta_1,\mathit{FSTS}</w:t>
      </w:r>
      <w:r>
        <w:t xml:space="preserve">{c,i} + \beta_2,\mathit{FSTS}</w:t>
      </w:r>
      <w:r>
        <w:rPr>
          <w:iCs/>
          <w:i/>
        </w:rPr>
        <w:t xml:space="preserve">{c,i}^{2}</w:t>
      </w:r>
      <w:r>
        <w:rPr>
          <w:iCs/>
          <w:i/>
        </w:rPr>
        <w:t xml:space="preserve"> </w:t>
      </w:r>
      <w:r>
        <w:rPr>
          <w:iCs/>
          <w:i/>
        </w:rPr>
        <w:t xml:space="preserve">+ \beta_3,\mathrm{TCI}</w:t>
      </w:r>
      <w:r>
        <w:rPr>
          <w:iCs/>
          <w:i/>
          <w:iCs/>
          <w:i/>
        </w:rPr>
        <w:t xml:space="preserve">i + \beta_4,\mathrm{DAI}</w:t>
      </w:r>
      <w:r>
        <w:rPr>
          <w:iCs/>
          <w:i/>
          <w:iCs/>
          <w:i/>
          <w:iCs/>
          <w:i/>
        </w:rPr>
        <w:t xml:space="preserve">i \notag \</w:t>
      </w:r>
      <w:r>
        <w:rPr>
          <w:iCs/>
          <w:i/>
          <w:iCs/>
          <w:i/>
          <w:iCs/>
          <w:i/>
        </w:rPr>
        <w:t xml:space="preserve"> </w:t>
      </w:r>
      <w:r>
        <w:rPr>
          <w:iCs/>
          <w:i/>
          <w:iCs/>
          <w:i/>
          <w:iCs/>
          <w:i/>
        </w:rPr>
        <w:t xml:space="preserve">&amp;\quad + \beta_5,(\mathit{FSTS}</w:t>
      </w:r>
      <w:r>
        <w:rPr>
          <w:iCs/>
          <w:i/>
          <w:iCs/>
          <w:i/>
        </w:rPr>
        <w:t xml:space="preserve">{c,i} \times \mathrm{TCI}</w:t>
      </w:r>
      <w:r>
        <w:rPr>
          <w:iCs/>
          <w:i/>
          <w:iCs/>
          <w:i/>
          <w:iCs/>
          <w:i/>
        </w:rPr>
        <w:t xml:space="preserve">i)</w:t>
      </w:r>
      <w:r>
        <w:rPr>
          <w:iCs/>
          <w:i/>
          <w:iCs/>
          <w:i/>
          <w:iCs/>
          <w:i/>
        </w:rPr>
        <w:t xml:space="preserve"> </w:t>
      </w:r>
      <w:r>
        <w:rPr>
          <w:iCs/>
          <w:i/>
          <w:iCs/>
          <w:i/>
          <w:iCs/>
          <w:i/>
        </w:rPr>
        <w:t xml:space="preserve">+ \beta_6,(\mathit{FSTS}</w:t>
      </w:r>
      <w:r>
        <w:rPr>
          <w:iCs/>
          <w:i/>
          <w:iCs/>
          <w:i/>
        </w:rPr>
        <w:t xml:space="preserve">{c,i}^{2} \times \mathrm{TCI}</w:t>
      </w:r>
      <w:r>
        <w:rPr>
          <w:iCs/>
          <w:i/>
          <w:iCs/>
          <w:i/>
          <w:iCs/>
          <w:i/>
        </w:rPr>
        <w:t xml:space="preserve">i) \notag \</w:t>
      </w:r>
      <w:r>
        <w:rPr>
          <w:iCs/>
          <w:i/>
          <w:iCs/>
          <w:i/>
          <w:iCs/>
          <w:i/>
        </w:rPr>
        <w:t xml:space="preserve"> </w:t>
      </w:r>
      <w:r>
        <w:rPr>
          <w:iCs/>
          <w:i/>
          <w:iCs/>
          <w:i/>
          <w:iCs/>
          <w:i/>
        </w:rPr>
        <w:t xml:space="preserve">&amp;\quad + \beta_7,(\mathit{FSTS}</w:t>
      </w:r>
      <w:r>
        <w:rPr>
          <w:iCs/>
          <w:i/>
          <w:iCs/>
          <w:i/>
        </w:rPr>
        <w:t xml:space="preserve">{c,i} \times \mathrm{DAI}</w:t>
      </w:r>
      <w:r>
        <w:rPr>
          <w:iCs/>
          <w:i/>
          <w:iCs/>
          <w:i/>
          <w:iCs/>
          <w:i/>
        </w:rPr>
        <w:t xml:space="preserve">i)</w:t>
      </w:r>
      <w:r>
        <w:rPr>
          <w:iCs/>
          <w:i/>
          <w:iCs/>
          <w:i/>
          <w:iCs/>
          <w:i/>
        </w:rPr>
        <w:t xml:space="preserve"> </w:t>
      </w:r>
      <w:r>
        <w:rPr>
          <w:iCs/>
          <w:i/>
          <w:iCs/>
          <w:i/>
          <w:iCs/>
          <w:i/>
        </w:rPr>
        <w:t xml:space="preserve">+ \beta_8,(\mathit{FSTS}</w:t>
      </w:r>
      <w:r>
        <w:rPr>
          <w:iCs/>
          <w:i/>
          <w:iCs/>
          <w:i/>
        </w:rPr>
        <w:t xml:space="preserve">{c,i}^{2} \times \mathrm{DAI}</w:t>
      </w:r>
      <w:r>
        <w:rPr>
          <w:iCs/>
          <w:i/>
          <w:iCs/>
          <w:i/>
          <w:iCs/>
          <w:i/>
        </w:rPr>
        <w:t xml:space="preserve">i) \notag \</w:t>
      </w:r>
      <w:r>
        <w:rPr>
          <w:iCs/>
          <w:i/>
          <w:iCs/>
          <w:i/>
          <w:iCs/>
          <w:i/>
        </w:rPr>
        <w:t xml:space="preserve"> </w:t>
      </w:r>
      <w:r>
        <w:rPr>
          <w:iCs/>
          <w:i/>
          <w:iCs/>
          <w:i/>
          <w:iCs/>
          <w:i/>
        </w:rPr>
        <w:t xml:space="preserve">&amp;\quad + \beta_9,(\mathit{FSTS}</w:t>
      </w:r>
      <w:r>
        <w:rPr>
          <w:iCs/>
          <w:i/>
          <w:iCs/>
          <w:i/>
        </w:rPr>
        <w:t xml:space="preserve">{c,i} \times \mathrm{TCI}</w:t>
      </w:r>
      <w:r>
        <w:rPr>
          <w:iCs/>
          <w:i/>
          <w:iCs/>
          <w:i/>
          <w:iCs/>
          <w:i/>
        </w:rPr>
        <w:t xml:space="preserve">i \times \mathrm{DAI}</w:t>
      </w:r>
      <w:r>
        <w:rPr>
          <w:iCs/>
          <w:i/>
          <w:iCs/>
          <w:i/>
          <w:iCs/>
          <w:i/>
          <w:iCs/>
          <w:i/>
        </w:rPr>
        <w:t xml:space="preserve">i) \notag \</w:t>
      </w:r>
      <w:r>
        <w:rPr>
          <w:iCs/>
          <w:i/>
          <w:iCs/>
          <w:i/>
          <w:iCs/>
          <w:i/>
          <w:iCs/>
          <w:i/>
        </w:rPr>
        <w:t xml:space="preserve"> </w:t>
      </w:r>
      <w:r>
        <w:rPr>
          <w:iCs/>
          <w:i/>
          <w:iCs/>
          <w:i/>
          <w:iCs/>
          <w:i/>
          <w:iCs/>
          <w:i/>
        </w:rPr>
        <w:t xml:space="preserve">&amp;\quad + \beta</w:t>
      </w:r>
      <w:r>
        <w:rPr>
          <w:iCs/>
          <w:i/>
          <w:iCs/>
          <w:i/>
          <w:iCs/>
          <w:i/>
        </w:rPr>
        <w:t xml:space="preserve">{10},(\mathit{FSTS}</w:t>
      </w:r>
      <w:r>
        <w:rPr>
          <w:iCs/>
          <w:i/>
          <w:iCs/>
          <w:i/>
        </w:rPr>
        <w:t xml:space="preserve">{c,i} \times YB</w:t>
      </w:r>
      <w:r>
        <w:rPr>
          <w:iCs/>
          <w:i/>
        </w:rPr>
        <w:t xml:space="preserve">{2013\text{-}17,i})</w:t>
      </w:r>
      <w:r>
        <w:rPr>
          <w:iCs/>
          <w:i/>
        </w:rPr>
        <w:t xml:space="preserve"> </w:t>
      </w:r>
      <w:r>
        <w:rPr>
          <w:iCs/>
          <w:i/>
        </w:rPr>
        <w:t xml:space="preserve">+ \beta</w:t>
      </w:r>
      <w:r>
        <w:t xml:space="preserve">{11},(\mathit{FSTS}</w:t>
      </w:r>
      <w:r>
        <w:rPr>
          <w:iCs/>
          <w:i/>
        </w:rPr>
        <w:t xml:space="preserve">{c,i}^{2} \times YB</w:t>
      </w:r>
      <w:r>
        <w:t xml:space="preserve">{2013\text{-}17,i}) \notag \</w:t>
      </w:r>
      <w:r>
        <w:t xml:space="preserve"> </w:t>
      </w:r>
      <w:r>
        <w:t xml:space="preserve">&amp;\quad + \beta_{12},(\mathit{FSTS}</w:t>
      </w:r>
      <w:r>
        <w:rPr>
          <w:iCs/>
          <w:i/>
        </w:rPr>
        <w:t xml:space="preserve">{c,i} \times YB</w:t>
      </w:r>
      <w:r>
        <w:t xml:space="preserve">{2018\text{-}25,i})</w:t>
      </w:r>
      <w:r>
        <w:t xml:space="preserve"> </w:t>
      </w:r>
      <w:r>
        <w:t xml:space="preserve">+ \beta_{13},(\mathit{FSTS}</w:t>
      </w:r>
      <w:r>
        <w:rPr>
          <w:iCs/>
          <w:i/>
        </w:rPr>
        <w:t xml:space="preserve">{c,i}^{2} \times YB</w:t>
      </w:r>
      <w:r>
        <w:t xml:space="preserve">{2018\text{-}25,i}) \notag \</w:t>
      </w:r>
      <w:r>
        <w:t xml:space="preserve"> </w:t>
      </w:r>
      <w:r>
        <w:t xml:space="preserve">&amp;\quad + \boldsymbol{\gamma}'\mathbf{X}_i + \alpha_j + \delta_t + \varepsilon_i</w:t>
      </w:r>
      <w:r>
        <w:t xml:space="preserve"> </w:t>
      </w:r>
      <w:r>
        <w:t xml:space="preserve">\label{eq:M7}</w:t>
      </w:r>
      <w:r>
        <w:t xml:space="preserve"> </w:t>
      </w:r>
      <w:r>
        <w:t xml:space="preserve">\end{align}</w:t>
      </w: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 dễ dàng đáp ứng với pool 101.185.</w:t>
      </w:r>
    </w:p>
    <w:bookmarkEnd w:id="72"/>
    <w:bookmarkStart w:id="73" w:name="bảng-tổng-hợp-mô-hình"/>
    <w:p>
      <w:pPr>
        <w:pStyle w:val="Heading5"/>
      </w:pPr>
      <w:r>
        <w:t xml:space="preserve">Bảng tổng hợp mô hình</w:t>
      </w:r>
    </w:p>
    <w:p>
      <w:pPr>
        <w:pStyle w:val="FirstParagraph"/>
      </w:pPr>
      <w:r>
        <w:t xml:space="preserve">Bảng 2.7. Tám mô hình M0–M7 — cấu trúc, giả thuyết kiểm định, và biến bổ sung.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Gradient TP; gánh nặng tắt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Xe1509b929c4d29ab07808a468654fc0b0b85d99"/>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75"/>
    <w:bookmarkStart w:id="76" w:name="đo-lường-biến-chi-tiết"/>
    <w:p>
      <w:pPr>
        <w:pStyle w:val="Heading5"/>
      </w:pPr>
      <w:r>
        <w:t xml:space="preserve">Đo lường biến chi tiết</w:t>
      </w:r>
    </w:p>
    <w:p>
      <w:pPr>
        <w:pStyle w:val="FirstParagraph"/>
      </w:pPr>
      <w:r>
        <w:t xml:space="preserve">Biến phụ thuộc —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 FSTS².</w:t>
      </w:r>
    </w:p>
    <w:p>
      <w:pPr>
        <w:pStyle w:val="BodyText"/>
      </w:pPr>
      <w:r>
        <w:t xml:space="preserve">Bảng 2.9. Đo lường TCI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 nhất quán với tổng hợp formative, Coltman et al., 2008).</w:t>
      </w:r>
    </w:p>
    <w:p>
      <w:pPr>
        <w:pStyle w:val="BodyText"/>
      </w:pPr>
      <w:r>
        <w:t xml:space="preserve">Bảng 2.10. Đo lường DAI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 chỉ có trong schema BEE (2019 trở đi).</w:t>
      </w:r>
      <w:r>
        <w:t xml:space="preserve"> </w:t>
      </w:r>
      <w:r>
        <w:t xml:space="preserve">DAI_z_tier1 (Tier 1 only): z-mean(c22b) —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47 nền kinh tế theo ICRV — đặc điểm và tiêu chí.</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tắt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P8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±15% trong ≥3 năm liên tiếp —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 bác bỏ H₀ →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 nếu hình dạng visual nhất quán với chữ U ngược → bằng chứng xác nhận không phụ thuộc giả định phân phối.</w:t>
      </w:r>
    </w:p>
    <w:p>
      <w:pPr>
        <w:pStyle w:val="BodyText"/>
      </w:pPr>
      <w:r>
        <w:t xml:space="preserve">Tầng 4 — Nhân rộng mẫu con: Pool đủ lớn (101.185) cho phép chạy M0–M7 riêng cho từng nhóm ICRV (Nhóm I: ~6.500; Nhóm IV: ~28.000) để kiểm định tính không đồng nhất.</w:t>
      </w:r>
    </w:p>
    <w:bookmarkEnd w:id="78"/>
    <w:bookmarkEnd w:id="79"/>
    <w:bookmarkStart w:id="80" w:name="X784a621f97d84d1234604adf730450e02e3ef35"/>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 sáu nhóm.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 ROS; (b) Biến độc lập →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 không tìm thấy phi tuyến; (b) Thay TCI bằng nhiễu →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 "xác nhận mạnh". Nếu chỉ 2–3/6 nhóm nhất quán, kết quả là "hỗ trợ có điều kiện". Nếu &lt; 2/6 nhóm nhất quán, kết quả cần tái xem xét và không được tuyên bố giả thuyết được xác nhận.</w:t>
      </w:r>
    </w:p>
    <w:bookmarkEnd w:id="80"/>
    <w:bookmarkStart w:id="84" w:name="X0dab72e42c14670f7b3d769166e27ff618c9551"/>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văn liệu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 điều mà các mô hình đơn lý thuyết không làm được.</w:t>
      </w:r>
    </w:p>
    <w:p>
      <w:pPr>
        <w:pStyle w:val="BodyText"/>
      </w:pPr>
      <w:r>
        <w:t xml:space="preserve">Đóng góp 2: CDCM —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 chưa có trong văn liệu.</w:t>
      </w:r>
    </w:p>
    <w:p>
      <w:pPr>
        <w:pStyle w:val="BodyText"/>
      </w:pPr>
      <w:r>
        <w:t xml:space="preserve">Đóng góp 3: Phân loại nhánh Advanced thành Nhóm I và Nhóm II. Phát hiện từ phân tích mô tả về tính không đồng nhất trong Advanced — Nhóm I (tiên tiến đổi mới: Singapore, Korea, HK, Đài Loan) vs. Nhóm II (tiên tiến tài nguyên: Saudi, Qatar, Kuwait, Bahrain) — được tích hợp vào H5 như dự đoán lý thuyết: cùng GNI/người cao nhưng cơ chế I→P khác nhau do nguồn lực dẫn dắt khác nhau.</w:t>
      </w:r>
    </w:p>
    <w:p>
      <w:pPr>
        <w:pStyle w:val="BodyText"/>
      </w:pPr>
      <w:r>
        <w:t xml:space="preserve">Đóng góp 4: Giả thuyết gánh nặng tắt buộc trong khung I→P. Dạng hàm forced penalty (SIDS Nhóm VI) được tích hợp vào H5 như trường hợp cực đoan của gradient thể chế — SIDS không có chữ U ngược điển hình do quốc tế hóa bắt buộc (Briguglio, 1995). Tích hợp này mở rộng văn liệu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văn liệu châu Á kiểm định đồng thời I×TCI×DAI điều tiết ba chiều kết hợp với tính không đồng nhất thời gian — cho phép kiểm tra xem TCI và DAI là bổ sung hay thay thế trong điều tiết I→P.</w:t>
      </w:r>
    </w:p>
    <w:p>
      <w:pPr>
        <w:pStyle w:val="BodyText"/>
      </w:pPr>
      <w:r>
        <w:t xml:space="preserve">Đóng góp 6: Pool 101.185 doanh nghiệp —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năng lực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văn liệu I→P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 tăng cường năng lực điều phối thay vì chỉ tăng tỉ lệ xuất khẩu.</w:t>
      </w:r>
    </w:p>
    <w:p>
      <w:pPr>
        <w:pStyle w:val="BodyText"/>
      </w:pPr>
      <w:r>
        <w:t xml:space="preserve">DAI phát huy mạnh khi FSTS cao và môi trường thể chế tốt: Nhóm I (Singapore) cho thấy DAI×FSTS² = +3,119 —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 những gì hiệu quả ở Singapore không nhất thiết hiệu quả ở Bangladesh.</w:t>
      </w:r>
    </w:p>
    <w:p>
      <w:pPr>
        <w:pStyle w:val="BodyText"/>
      </w:pPr>
      <w:r>
        <w:t xml:space="preserve">Tính không đồng nhất thời gian H6 — chính sách năm 2025 không thể sao chép chính sách năm 2009; AI bùng nổ tạo ra cơ hội mới cho DAI trong giai đoạn 2018 trở đi.</w:t>
      </w:r>
    </w:p>
    <w:p>
      <w:pPr>
        <w:pStyle w:val="BodyText"/>
      </w:pPr>
      <w:r>
        <w:t xml:space="preserve">SIDS gánh nặng tắt buộc —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X3e03e0a730be87d669f079340c35b479d0b1a1b"/>
    <w:p>
      <w:pPr>
        <w:pStyle w:val="Heading3"/>
      </w:pPr>
      <w:r>
        <w:t xml:space="preserve">2.4 Kết luận và đề xuất</w:t>
      </w:r>
    </w:p>
    <w:bookmarkStart w:id="86" w:name="X2348ba230572cbe65b0d5b739c22f4e83186482"/>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 Uppsala, RBV, Institutional Theory, Upper Echelons, Foundational Digital Adoption Framework — vào tám mô hình thực nghiệm M0–M7 có thể kiểm định trên pool 101.185 doanh nghiệp WBES xuyên 47 nền kinh tế và 108 cặp quốc gia-năm. Hệ giả thuyết H1–H6 được phát triển có neo đậu thực nghiệm từ ba bản thảo đồng hành (P3 Việt Nam, P4 Singapore, P5 Trung Quốc) —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gradient) điểm uốn gradient từ Nhóm I đến VI, Nhóm VI gánh nặng tắt buộc; H6 (Thời gian) DAI dịch chuyển 2009→2023, TCI tăng cường theo thời gian.</w:t>
      </w:r>
    </w:p>
    <w:p>
      <w:pPr>
        <w:pStyle w:val="BodyText"/>
      </w:pPr>
      <w:r>
        <w:t xml:space="preserve">Đóng góp trung tâm — CDCM —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Xd817586c1cd13f8a893b8cdf4a29f85d5fe00a8"/>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 tích hợp ERP, triển khai AI, quản trị dữ liệu xuyên biên giới —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 panel meta-analysis; Borenstein et al. (2021) — Bayesian meta-regression với thông tin tiền nghiệm. Về mở rộng bậc số hóa: Verhoef et al. (2021) — phân cấp Tier 1–4. Về mở rộng quốc tế hóa đa chiều: Contractor et al. (2003); Sullivan (1994) về DOI composite.</w:t>
      </w:r>
    </w:p>
    <w:p>
      <w:r>
        <w:pict>
          <v:rect style="width:0;height:1.5pt" o:hralign="center" o:hrstd="t" o:hr="t"/>
        </w:pict>
      </w:r>
    </w:p>
    <w:bookmarkEnd w:id="87"/>
    <w:bookmarkStart w:id="88" w:name="Xc14c8adf4a1440a86a0b4da5fa92c77edd50b1b"/>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 P6: Tổng quan định lượng ba tầng (three-level MARA, IBR):</w:t>
      </w:r>
      <w:r>
        <w:t xml:space="preserve"> </w:t>
      </w:r>
      <w:r>
        <w:t xml:space="preserve">Mở rộng ICBEF 2025 baseline (Đỗ &amp; Phan, 2024, k=113) lên k≈235 với hệ thống tìm kiếm PRISMA 2020 trên Web of Science + Scopus (1977–2026). Ba biến điều tiết mới chưa được kiểm định trong bất kỳ meta-analysis I→P nào: (i) cDAI — mức độ số hóa cấp quốc gia khuếch đại lợi ích quốc tế hóa; (ii) ICRV 6 nhóm cho châu Á-Thái Bình Dương thay vì phân loại toàn cầu thô trong Marano et al. (2016); (iii) DPL phase — phân chia dữ liệu theo trước/trong/sau bước ngoặt số 2009. Kết quả meta-analytic sẽ xác nhận hoặc bác bỏ gradient ICRV trong H5 trên cơ sở dữ liệu xuyên nghiên cứu. Hướng này lấp đầy khoảng trống P6 từ bằng chứng kép: thiếu Tier-2 DAI (P3 Vietnam) và thiếu hội tụ cấu trúc (P5 China).</w:t>
      </w:r>
    </w:p>
    <w:p>
      <w:pPr>
        <w:pStyle w:val="BodyText"/>
      </w:pPr>
      <w:r>
        <w:rPr>
          <w:bCs/>
          <w:b/>
        </w:rPr>
        <w:t xml:space="preserve">Hướng 2 — P7: Kiểm định H1–H6 toàn pool 49 nền kinh tế (JIBS, under revision):</w:t>
      </w:r>
      <w:r>
        <w:t xml:space="preserve"> </w:t>
      </w:r>
      <w:r>
        <w:t xml:space="preserve">P7 đã hoàn thành — N=84,910–91,982 doanh nghiệp, 49 nền kinh tế châu Á và Thái Bình Dương, 102 country-year waves, 6 nhóm ICRV. Kết quả xác nhận: H1 (phi tuyến) TP≈36%; H2 TCI level effect β≈+0.344 (p&lt;.05); H3 DAI universal level effect β=+0.155 (p&lt;.001) + cả hai curvature interactions; H5 ICRV gradient — TP</w:t>
      </w:r>
      <w:r>
        <w:t xml:space="preserve"> </w:t>
      </w:r>
      <w:r>
        <w:rPr>
          <w:bCs/>
          <w:b/>
        </w:rPr>
        <w:t xml:space="preserve">giảm</w:t>
      </w:r>
      <w:r>
        <w:t xml:space="preserve"> </w:t>
      </w:r>
      <w:r>
        <w:t xml:space="preserve">từ SIDS/Frontier (~55%) xuống Advanced Innovation (~28%); DAI×ICRV p=.012 (digital shield strongest khi thể chế yếu). P3 (Nhóm IV), P4 (Nhóm I), P5 (Nhóm III) cung cấp neo đậu cross-context đã được xác nhận bởi pooled 49-economy results.</w:t>
      </w:r>
    </w:p>
    <w:p>
      <w:pPr>
        <w:pStyle w:val="BodyText"/>
      </w:pPr>
      <w:r>
        <w:rPr>
          <w:bCs/>
          <w:b/>
        </w:rPr>
        <w:t xml:space="preserve">Hướng 3 — P8: SIDS Thái Bình Dương — gánh nặng tắt buộc (World Development, under revision):</w:t>
      </w:r>
      <w:r>
        <w:t xml:space="preserve"> </w:t>
      </w:r>
      <w:r>
        <w:t xml:space="preserve">P8 đã hoàn thành — N=1.469 doanh nghiệp, 9 nước SIDS (Nhóm VI ICRV: Fiji, Kiribati, PNG, Samoa, Solomon Islands, Tonga, Vanuatu + Comoros + Timor-Leste), β(FSTS_c)=−0,404* xác nhận Forced Internationalization Penalty: quan hệ âm đơn điệu không có turning point, nhất quán với giả thuyết gánh nặng tắt buộc (Briguglio, 1995; Bertram, 2006). Khoảng trống H1b trong CD2 đã được lấp đầy bởi P8.</w:t>
      </w:r>
    </w:p>
    <w:p>
      <w:pPr>
        <w:pStyle w:val="BodyText"/>
      </w:pPr>
      <w:r>
        <w:rPr>
          <w:bCs/>
          <w:b/>
        </w:rPr>
        <w:t xml:space="preserve">Hướng 4 —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 và điều kiện chuyển đổi là gì (ngưỡng thể chế, quy mô doanh nghiệp, hay sóng công nghệ)?</w:t>
      </w:r>
    </w:p>
    <w:p>
      <w:pPr>
        <w:pStyle w:val="BodyText"/>
      </w:pPr>
      <w:r>
        <w:rPr>
          <w:bCs/>
          <w:b/>
        </w:rPr>
        <w:t xml:space="preserve">Hướng 5 — Panel longitudinal WBES core 2023–2027 (JIBS hoặc SMJ):</w:t>
      </w:r>
      <w:r>
        <w:t xml:space="preserve"> </w:t>
      </w:r>
      <w:r>
        <w:t xml:space="preserve">WBES core panel theo dõi một nhóm doanh nghiệp trong ít nhất hai sóng liên tiếp, cho phép kiểm định nhân quả TCI→năng suất và DAI→FSTS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124"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91">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92">
        <w:r>
          <w:rPr>
            <w:rStyle w:val="Hyperlink"/>
          </w:rPr>
          <w:t xml:space="preserve">https://doi.org/10.1177/014920639101700108</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93">
        <w:r>
          <w:rPr>
            <w:rStyle w:val="Hyperlink"/>
          </w:rPr>
          <w:t xml:space="preserve">https://doi.org/10.25300/MISQ/2013/37:2.3</w:t>
        </w:r>
      </w:hyperlink>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r>
        <w:t xml:space="preserve"> </w:t>
      </w:r>
      <w:hyperlink r:id="rId94">
        <w:r>
          <w:rPr>
            <w:rStyle w:val="Hyperlink"/>
          </w:rPr>
          <w:t xml:space="preserve">https://doi.org/10.1016/0305-750X(95)00065-K</w:t>
        </w:r>
      </w:hyperlink>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w:t>
      </w:r>
      <w:r>
        <w:t xml:space="preserve"> </w:t>
      </w:r>
      <w:hyperlink r:id="rId95">
        <w:r>
          <w:rPr>
            <w:rStyle w:val="Hyperlink"/>
          </w:rPr>
          <w:t xml:space="preserve">https://doi.org/10.5465/amj.2008.33665310</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96">
        <w:r>
          <w:rPr>
            <w:rStyle w:val="Hyperlink"/>
          </w:rPr>
          <w:t xml:space="preserve">https://doi.org/10.1016/j.jwb.2010.10.019</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7">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98">
        <w:r>
          <w:rPr>
            <w:rStyle w:val="Hyperlink"/>
          </w:rPr>
          <w:t xml:space="preserve">https://doi.org/10.1016/j.jbusres.2008.01.013</w:t>
        </w:r>
      </w:hyperlink>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99">
        <w:r>
          <w:rPr>
            <w:rStyle w:val="Hyperlink"/>
          </w:rPr>
          <w:t xml:space="preserve">https://doi.org/10.1057/palgrave.jibs.8400003</w:t>
        </w:r>
      </w:hyperlink>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 [P3 —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 [P5 —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100">
        <w:r>
          <w:rPr>
            <w:rStyle w:val="Hyperlink"/>
          </w:rPr>
          <w:t xml:space="preserve">https://doi.org/10.1057/palgrave.jibs.8490065</w:t>
        </w:r>
      </w:hyperlink>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101">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102">
        <w:r>
          <w:rPr>
            <w:rStyle w:val="Hyperlink"/>
          </w:rPr>
          <w:t xml:space="preserve">https://doi.org/10.5465/amr.1984.4277628</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103">
        <w:r>
          <w:rPr>
            <w:rStyle w:val="Hyperlink"/>
          </w:rPr>
          <w:t xml:space="preserve">https://doi.org/10.2307/256948</w:t>
        </w:r>
      </w:hyperlink>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r>
        <w:t xml:space="preserve"> </w:t>
      </w:r>
      <w:hyperlink r:id="rId104">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105">
        <w:r>
          <w:rPr>
            <w:rStyle w:val="Hyperlink"/>
          </w:rPr>
          <w:t xml:space="preserve">https://doi.org/10.1057/jibs.2009.24</w:t>
        </w:r>
      </w:hyperlink>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w:t>
      </w:r>
      <w:r>
        <w:t xml:space="preserve"> </w:t>
      </w:r>
      <w:hyperlink r:id="rId106">
        <w:r>
          <w:rPr>
            <w:rStyle w:val="Hyperlink"/>
          </w:rPr>
          <w:t xml:space="preserve">https://doi.org/10.1002/gsj.1433</w:t>
        </w:r>
      </w:hyperlink>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w:t>
      </w:r>
      <w:r>
        <w:t xml:space="preserve"> </w:t>
      </w:r>
      <w:hyperlink r:id="rId107">
        <w:r>
          <w:rPr>
            <w:rStyle w:val="Hyperlink"/>
          </w:rPr>
          <w:t xml:space="preserve">https://doi.org/10.5465/amj.2009.0703</w:t>
        </w:r>
      </w:hyperlink>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108">
        <w:r>
          <w:rPr>
            <w:rStyle w:val="Hyperlink"/>
          </w:rPr>
          <w:t xml:space="preserve">https://doi.org/10.1016/0305-750X(92)90097-F</w:t>
        </w:r>
      </w:hyperlink>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9">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110">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11">
        <w:r>
          <w:rPr>
            <w:rStyle w:val="Hyperlink"/>
          </w:rPr>
          <w:t xml:space="preserve">https://doi.org/10.2307/20159604</w:t>
        </w:r>
      </w:hyperlink>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12">
        <w:r>
          <w:rPr>
            <w:rStyle w:val="Hyperlink"/>
          </w:rPr>
          <w:t xml:space="preserve">https://doi.org/10.1177/0149206316648proper</w:t>
        </w:r>
      </w:hyperlink>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w:t>
      </w:r>
      <w:r>
        <w:t xml:space="preserve"> </w:t>
      </w:r>
      <w:hyperlink r:id="rId113">
        <w:r>
          <w:rPr>
            <w:rStyle w:val="Hyperlink"/>
          </w:rPr>
          <w:t xml:space="preserve">https://doi.org/10.1016/j.jwb.2010.05.003</w:t>
        </w:r>
      </w:hyperlink>
    </w:p>
    <w:p>
      <w:pPr>
        <w:pStyle w:val="BodyText"/>
      </w:pPr>
      <w:r>
        <w:t xml:space="preserve">North, D. C. (1990).</w:t>
      </w:r>
      <w:r>
        <w:t xml:space="preserve"> </w:t>
      </w:r>
      <w:r>
        <w:rPr>
          <w:iCs/>
          <w:i/>
        </w:rPr>
        <w:t xml:space="preserve">Institutions, institutional change and economic performance</w:t>
      </w:r>
      <w:r>
        <w:t xml:space="preserve">. Cambridge University Press.</w:t>
      </w:r>
      <w:r>
        <w:t xml:space="preserve"> </w:t>
      </w:r>
      <w:hyperlink r:id="rId114">
        <w:r>
          <w:rPr>
            <w:rStyle w:val="Hyperlink"/>
          </w:rPr>
          <w:t xml:space="preserve">https://doi.org/10.1017/CBO9780511808678</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15">
        <w:r>
          <w:rPr>
            <w:rStyle w:val="Hyperlink"/>
          </w:rPr>
          <w:t xml:space="preserve">https://doi.org/10.1111/j.1745-9125.1998.tb01268.x</w:t>
        </w:r>
      </w:hyperlink>
    </w:p>
    <w:p>
      <w:pPr>
        <w:pStyle w:val="BodyText"/>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116">
        <w:r>
          <w:rPr>
            <w:rStyle w:val="Hyperlink"/>
          </w:rPr>
          <w:t xml:space="preserve">https://doi.org/10.5465/amr.2003.9416341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117">
        <w:r>
          <w:rPr>
            <w:rStyle w:val="Hyperlink"/>
          </w:rPr>
          <w:t xml:space="preserve">https://doi.org/10.1057/palgrave.jibs.8400377</w:t>
        </w:r>
      </w:hyperlink>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w:t>
      </w:r>
      <w:r>
        <w:t xml:space="preserve"> </w:t>
      </w:r>
      <w:hyperlink r:id="rId118">
        <w:r>
          <w:rPr>
            <w:rStyle w:val="Hyperlink"/>
          </w:rPr>
          <w:t xml:space="preserve">https://doi.org/10.3368/jhr.50.2.301</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9">
        <w:r>
          <w:rPr>
            <w:rStyle w:val="Hyperlink"/>
          </w:rPr>
          <w:t xml:space="preserve">https://doi.org/10.1002/gsj.1336</w:t>
        </w:r>
      </w:hyperlink>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20">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121">
        <w:r>
          <w:rPr>
            <w:rStyle w:val="Hyperlink"/>
          </w:rPr>
          <w:t xml:space="preserve">https://doi.org/10.1002/smj.4250050207</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w:t>
      </w:r>
      <w:r>
        <w:t xml:space="preserve"> </w:t>
      </w:r>
      <w:hyperlink r:id="rId122">
        <w:r>
          <w:rPr>
            <w:rStyle w:val="Hyperlink"/>
          </w:rPr>
          <w:t xml:space="preserve">https://doi.org/10.1007/s11575-022-00462-x</w:t>
        </w:r>
      </w:hyperlink>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r>
        <w:t xml:space="preserve"> </w:t>
      </w:r>
      <w:hyperlink r:id="rId123">
        <w:r>
          <w:rPr>
            <w:rStyle w:val="Hyperlink"/>
          </w:rPr>
          <w:t xml:space="preserve">https://doi.org/10.1016/j.intman.2013.01.003</w:t>
        </w:r>
      </w:hyperlink>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124"/>
    <w:bookmarkStart w:id="129" w:name="phụ-lục"/>
    <w:p>
      <w:pPr>
        <w:pStyle w:val="Heading2"/>
      </w:pPr>
      <w:r>
        <w:t xml:space="preserve">PHỤ LỤC</w:t>
      </w:r>
    </w:p>
    <w:bookmarkStart w:id="125" w:name="X2ea52842c06e0496eaa899ccd5db2777360b638"/>
    <w:p>
      <w:pPr>
        <w:pStyle w:val="Heading3"/>
      </w:pPr>
      <w:r>
        <w:t xml:space="preserve">Phụ lục A — Danh sách 47 nền kinh tế theo nhóm ICRV</w:t>
      </w:r>
    </w:p>
    <w:p>
      <w:pPr>
        <w:pStyle w:val="FirstParagraph"/>
      </w:pPr>
      <w:r>
        <w:t xml:space="preserve">ICRV Nhóm I — Tiên tiến đổi mới sáng tạo dẫn dắt (5 nền kinh tế):</w:t>
      </w:r>
      <w:r>
        <w:t xml:space="preserve"> </w:t>
      </w:r>
      <w:r>
        <w:t xml:space="preserve">Singapore, Hong Kong SAR, Hàn Quốc, Đài Loan, Israel.</w:t>
      </w:r>
    </w:p>
    <w:p>
      <w:pPr>
        <w:pStyle w:val="BodyText"/>
      </w:pPr>
      <w:r>
        <w:t xml:space="preserve">ICRV Nhóm II — Tiên tiến tài nguyên dẫn dắt (5 nền kinh tế):</w:t>
      </w:r>
      <w:r>
        <w:t xml:space="preserve"> </w:t>
      </w:r>
      <w:r>
        <w:t xml:space="preserve">Saudi Arabia, Qatar, Kuwait, Bahrain, Brunei.</w:t>
      </w:r>
    </w:p>
    <w:p>
      <w:pPr>
        <w:pStyle w:val="BodyText"/>
      </w:pPr>
      <w:r>
        <w:t xml:space="preserve">ICRV Nhóm III — Trung bình cao (6 nền kinh tế):</w:t>
      </w:r>
      <w:r>
        <w:t xml:space="preserve"> </w:t>
      </w:r>
      <w:r>
        <w:t xml:space="preserve">Trung Quốc, Malaysia, Thái Lan, Kazakhstan, Armenia, Georgia.</w:t>
      </w:r>
    </w:p>
    <w:p>
      <w:pPr>
        <w:pStyle w:val="BodyText"/>
      </w:pPr>
      <w:r>
        <w:t xml:space="preserve">ICRV Nhóm IV — Đang nổi (7 nền kinh tế):</w:t>
      </w:r>
      <w:r>
        <w:t xml:space="preserve"> </w:t>
      </w:r>
      <w:r>
        <w:t xml:space="preserve">Việt Nam, Indonesia, Philippines, Ấn Độ, Sri Lanka, Jordan, Mông Cổ.</w:t>
      </w:r>
    </w:p>
    <w:p>
      <w:pPr>
        <w:pStyle w:val="BodyText"/>
      </w:pPr>
      <w:r>
        <w:t xml:space="preserve">ICRV Nhóm V —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P8 dùng bộ lọc WBES SIDS_small gồm 9 nước, bổ sung thêm Comoros và Timor-Leste.)</w:t>
      </w:r>
    </w:p>
    <w:p>
      <w:pPr>
        <w:pStyle w:val="BodyText"/>
      </w:pPr>
      <w:r>
        <w:t xml:space="preserve">Tổng: 5 + 5 + 6 + 7 + 17 + 7 = 47 nền kinh tế.</w:t>
      </w:r>
    </w:p>
    <w:bookmarkEnd w:id="125"/>
    <w:bookmarkStart w:id="126" w:name="phụ-lục-b--tóm-tắt-ba-bản-thảo-đồng-hành"/>
    <w:p>
      <w:pPr>
        <w:pStyle w:val="Heading3"/>
      </w:pPr>
      <w:r>
        <w:t xml:space="preserve">Phụ lục B — Tóm tắt ba bản thảo đồng hành</w:t>
      </w:r>
    </w:p>
    <w:p>
      <w:pPr>
        <w:pStyle w:val="FirstParagraph"/>
      </w:pPr>
      <w:r>
        <w:t xml:space="preserve">P3 — Việt Nam (JABS, under review):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 Singapore (MIR, under review): Mar, K. S., Đỗ, T. H., &amp; Phan, A. T. (2026). Phân tích 623 doanh nghiệp WBES 2023. Kết quả chính: đường cong I→P chủ yếu dương; điểm uốn hàm ý ~88,6% (vùng thưa dữ liệu; Lind–Mehlum p = 0,303); DAI×FSTS² = +3,119 (p = 0,005) — DAI là nguồn lực mở rộng tình huống; TCI β = 0,153.</w:t>
      </w:r>
    </w:p>
    <w:p>
      <w:pPr>
        <w:pStyle w:val="BodyText"/>
      </w:pPr>
      <w:r>
        <w:t xml:space="preserve">P5 — Trung Quốc (IJOEM, under review): Đỗ, T. H., &amp; Phan, A. T. (2026). Phân tích 4.559 doanh nghiệp WBES hai sóng 2012/2024. Kết quả chính: chữ U ngược bền vững cấu trúc — điểm uốn 49,4% (2012), 47,2% (2024), Paternoster FSTS² p = 0,545 (không có sự khác biệt đáng kể); TCI tăng cường theo thời gian (+0,260 → +0,426, Paternoster p = 0,011).</w:t>
      </w:r>
    </w:p>
    <w:bookmarkEnd w:id="126"/>
    <w:bookmarkStart w:id="127" w:name="phụ-lục-c--quy-ước-báo-cáo-thống-kê"/>
    <w:p>
      <w:pPr>
        <w:pStyle w:val="Heading3"/>
      </w:pPr>
      <w:r>
        <w:t xml:space="preserve">Phụ lục C —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127"/>
    <w:bookmarkStart w:id="128" w:name="Xd529ac992b128dceb2ea262f8c2f50bab89d9c2"/>
    <w:p>
      <w:pPr>
        <w:pStyle w:val="Heading3"/>
      </w:pPr>
      <w:r>
        <w:t xml:space="preserve">Phụ lục D —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Pool 47 quốc gia × 5 ngành chính ≈ 235 </w:t>
      </w:r>
      <w:r>
        <w:rPr>
          <w:rStyle w:val="KeywordTok"/>
        </w:rPr>
        <w:t xml:space="preserve">cluster</w:t>
      </w:r>
      <w:r>
        <w:rPr>
          <w:rStyle w:val="NormalTok"/>
        </w:rPr>
        <w:t xml:space="preserve"> →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128"/>
    <w:bookmarkEnd w:id="129"/>
    <w:bookmarkEnd w:id="13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hyperlink" Id="rId119" Target="https://doi.org/10.1002/gsj.1336" TargetMode="External" /><Relationship Type="http://schemas.openxmlformats.org/officeDocument/2006/relationships/hyperlink" Id="rId106" Target="https://doi.org/10.1002/gsj.1433" TargetMode="External" /><Relationship Type="http://schemas.openxmlformats.org/officeDocument/2006/relationships/hyperlink" Id="rId121" Target="https://doi.org/10.1002/smj.4250050207" TargetMode="External" /><Relationship Type="http://schemas.openxmlformats.org/officeDocument/2006/relationships/hyperlink" Id="rId122" Target="https://doi.org/10.1007/s11575-022-00462-x" TargetMode="External" /><Relationship Type="http://schemas.openxmlformats.org/officeDocument/2006/relationships/hyperlink" Id="rId108" Target="https://doi.org/10.1016/0305-750X(92)90097-F" TargetMode="External" /><Relationship Type="http://schemas.openxmlformats.org/officeDocument/2006/relationships/hyperlink" Id="rId94" Target="https://doi.org/10.1016/0305-750X(95)00065-K" TargetMode="External" /><Relationship Type="http://schemas.openxmlformats.org/officeDocument/2006/relationships/hyperlink" Id="rId123" Target="https://doi.org/10.1016/j.intman.2013.01.003" TargetMode="External" /><Relationship Type="http://schemas.openxmlformats.org/officeDocument/2006/relationships/hyperlink" Id="rId98" Target="https://doi.org/10.1016/j.jbusres.2008.01.013" TargetMode="External" /><Relationship Type="http://schemas.openxmlformats.org/officeDocument/2006/relationships/hyperlink" Id="rId120" Target="https://doi.org/10.1016/j.jbusres.2019.09.022" TargetMode="External" /><Relationship Type="http://schemas.openxmlformats.org/officeDocument/2006/relationships/hyperlink" Id="rId113" Target="https://doi.org/10.1016/j.jwb.2010.05.003" TargetMode="External" /><Relationship Type="http://schemas.openxmlformats.org/officeDocument/2006/relationships/hyperlink" Id="rId96" Target="https://doi.org/10.1016/j.jwb.2010.10.019" TargetMode="External" /><Relationship Type="http://schemas.openxmlformats.org/officeDocument/2006/relationships/hyperlink" Id="rId114" Target="https://doi.org/10.1017/CBO9780511808678" TargetMode="External" /><Relationship Type="http://schemas.openxmlformats.org/officeDocument/2006/relationships/hyperlink" Id="rId105" Target="https://doi.org/10.1057/jibs.2009.24" TargetMode="External" /><Relationship Type="http://schemas.openxmlformats.org/officeDocument/2006/relationships/hyperlink" Id="rId99" Target="https://doi.org/10.1057/palgrave.jibs.8400003" TargetMode="External" /><Relationship Type="http://schemas.openxmlformats.org/officeDocument/2006/relationships/hyperlink" Id="rId117" Target="https://doi.org/10.1057/palgrave.jibs.8400377" TargetMode="External" /><Relationship Type="http://schemas.openxmlformats.org/officeDocument/2006/relationships/hyperlink" Id="rId100" Target="https://doi.org/10.1057/palgrave.jibs.8490065" TargetMode="External" /><Relationship Type="http://schemas.openxmlformats.org/officeDocument/2006/relationships/hyperlink" Id="rId104" Target="https://doi.org/10.1057/palgrave.jibs.8490676" TargetMode="External" /><Relationship Type="http://schemas.openxmlformats.org/officeDocument/2006/relationships/hyperlink" Id="rId91" Target="https://doi.org/10.1057/s41267-019-00243-7" TargetMode="External" /><Relationship Type="http://schemas.openxmlformats.org/officeDocument/2006/relationships/hyperlink" Id="rId110" Target="https://doi.org/10.1080/00031305.2000.10474549" TargetMode="External" /><Relationship Type="http://schemas.openxmlformats.org/officeDocument/2006/relationships/hyperlink" Id="rId109" Target="https://doi.org/10.1111/j.1468-0084.2009.00569.x" TargetMode="External" /><Relationship Type="http://schemas.openxmlformats.org/officeDocument/2006/relationships/hyperlink" Id="rId115" Target="https://doi.org/10.1111/j.1745-9125.1998.tb01268.x" TargetMode="External" /><Relationship Type="http://schemas.openxmlformats.org/officeDocument/2006/relationships/hyperlink" Id="rId112" Target="https://doi.org/10.1177/0149206316648proper" TargetMode="External" /><Relationship Type="http://schemas.openxmlformats.org/officeDocument/2006/relationships/hyperlink" Id="rId92" Target="https://doi.org/10.1177/014920639101700108" TargetMode="External" /><Relationship Type="http://schemas.openxmlformats.org/officeDocument/2006/relationships/hyperlink" Id="rId111" Target="https://doi.org/10.2307/20159604" TargetMode="External" /><Relationship Type="http://schemas.openxmlformats.org/officeDocument/2006/relationships/hyperlink" Id="rId97" Target="https://doi.org/10.2307/2393553" TargetMode="External" /><Relationship Type="http://schemas.openxmlformats.org/officeDocument/2006/relationships/hyperlink" Id="rId103" Target="https://doi.org/10.2307/256948" TargetMode="External" /><Relationship Type="http://schemas.openxmlformats.org/officeDocument/2006/relationships/hyperlink" Id="rId93" Target="https://doi.org/10.25300/MISQ/2013/37:2.3" TargetMode="External" /><Relationship Type="http://schemas.openxmlformats.org/officeDocument/2006/relationships/hyperlink" Id="rId118" Target="https://doi.org/10.3368/jhr.50.2.301" TargetMode="External" /><Relationship Type="http://schemas.openxmlformats.org/officeDocument/2006/relationships/hyperlink" Id="rId95" Target="https://doi.org/10.5465/amj.2008.33665310" TargetMode="External" /><Relationship Type="http://schemas.openxmlformats.org/officeDocument/2006/relationships/hyperlink" Id="rId107" Target="https://doi.org/10.5465/amj.2009.0703" TargetMode="External" /><Relationship Type="http://schemas.openxmlformats.org/officeDocument/2006/relationships/hyperlink" Id="rId102" Target="https://doi.org/10.5465/amr.1984.4277628" TargetMode="External" /><Relationship Type="http://schemas.openxmlformats.org/officeDocument/2006/relationships/hyperlink" Id="rId116" Target="https://doi.org/10.5465/amr.2003.9416341" TargetMode="External" /><Relationship Type="http://schemas.openxmlformats.org/officeDocument/2006/relationships/hyperlink" Id="rId101" Target="https://doi.org/10.5465/amr.2007.24345254" TargetMode="External" /></Relationships>
</file>

<file path=word/_rels/footnotes.xml.rels><?xml version="1.0" encoding="UTF-8"?><Relationships xmlns="http://schemas.openxmlformats.org/package/2006/relationships"><Relationship Type="http://schemas.openxmlformats.org/officeDocument/2006/relationships/hyperlink" Id="rId119" Target="https://doi.org/10.1002/gsj.1336" TargetMode="External" /><Relationship Type="http://schemas.openxmlformats.org/officeDocument/2006/relationships/hyperlink" Id="rId106" Target="https://doi.org/10.1002/gsj.1433" TargetMode="External" /><Relationship Type="http://schemas.openxmlformats.org/officeDocument/2006/relationships/hyperlink" Id="rId121" Target="https://doi.org/10.1002/smj.4250050207" TargetMode="External" /><Relationship Type="http://schemas.openxmlformats.org/officeDocument/2006/relationships/hyperlink" Id="rId122" Target="https://doi.org/10.1007/s11575-022-00462-x" TargetMode="External" /><Relationship Type="http://schemas.openxmlformats.org/officeDocument/2006/relationships/hyperlink" Id="rId108" Target="https://doi.org/10.1016/0305-750X(92)90097-F" TargetMode="External" /><Relationship Type="http://schemas.openxmlformats.org/officeDocument/2006/relationships/hyperlink" Id="rId94" Target="https://doi.org/10.1016/0305-750X(95)00065-K" TargetMode="External" /><Relationship Type="http://schemas.openxmlformats.org/officeDocument/2006/relationships/hyperlink" Id="rId123" Target="https://doi.org/10.1016/j.intman.2013.01.003" TargetMode="External" /><Relationship Type="http://schemas.openxmlformats.org/officeDocument/2006/relationships/hyperlink" Id="rId98" Target="https://doi.org/10.1016/j.jbusres.2008.01.013" TargetMode="External" /><Relationship Type="http://schemas.openxmlformats.org/officeDocument/2006/relationships/hyperlink" Id="rId120" Target="https://doi.org/10.1016/j.jbusres.2019.09.022" TargetMode="External" /><Relationship Type="http://schemas.openxmlformats.org/officeDocument/2006/relationships/hyperlink" Id="rId113" Target="https://doi.org/10.1016/j.jwb.2010.05.003" TargetMode="External" /><Relationship Type="http://schemas.openxmlformats.org/officeDocument/2006/relationships/hyperlink" Id="rId96" Target="https://doi.org/10.1016/j.jwb.2010.10.019" TargetMode="External" /><Relationship Type="http://schemas.openxmlformats.org/officeDocument/2006/relationships/hyperlink" Id="rId114" Target="https://doi.org/10.1017/CBO9780511808678" TargetMode="External" /><Relationship Type="http://schemas.openxmlformats.org/officeDocument/2006/relationships/hyperlink" Id="rId105" Target="https://doi.org/10.1057/jibs.2009.24" TargetMode="External" /><Relationship Type="http://schemas.openxmlformats.org/officeDocument/2006/relationships/hyperlink" Id="rId99" Target="https://doi.org/10.1057/palgrave.jibs.8400003" TargetMode="External" /><Relationship Type="http://schemas.openxmlformats.org/officeDocument/2006/relationships/hyperlink" Id="rId117" Target="https://doi.org/10.1057/palgrave.jibs.8400377" TargetMode="External" /><Relationship Type="http://schemas.openxmlformats.org/officeDocument/2006/relationships/hyperlink" Id="rId100" Target="https://doi.org/10.1057/palgrave.jibs.8490065" TargetMode="External" /><Relationship Type="http://schemas.openxmlformats.org/officeDocument/2006/relationships/hyperlink" Id="rId104" Target="https://doi.org/10.1057/palgrave.jibs.8490676" TargetMode="External" /><Relationship Type="http://schemas.openxmlformats.org/officeDocument/2006/relationships/hyperlink" Id="rId91" Target="https://doi.org/10.1057/s41267-019-00243-7" TargetMode="External" /><Relationship Type="http://schemas.openxmlformats.org/officeDocument/2006/relationships/hyperlink" Id="rId110" Target="https://doi.org/10.1080/00031305.2000.10474549" TargetMode="External" /><Relationship Type="http://schemas.openxmlformats.org/officeDocument/2006/relationships/hyperlink" Id="rId109" Target="https://doi.org/10.1111/j.1468-0084.2009.00569.x" TargetMode="External" /><Relationship Type="http://schemas.openxmlformats.org/officeDocument/2006/relationships/hyperlink" Id="rId115" Target="https://doi.org/10.1111/j.1745-9125.1998.tb01268.x" TargetMode="External" /><Relationship Type="http://schemas.openxmlformats.org/officeDocument/2006/relationships/hyperlink" Id="rId112" Target="https://doi.org/10.1177/0149206316648proper" TargetMode="External" /><Relationship Type="http://schemas.openxmlformats.org/officeDocument/2006/relationships/hyperlink" Id="rId92" Target="https://doi.org/10.1177/014920639101700108" TargetMode="External" /><Relationship Type="http://schemas.openxmlformats.org/officeDocument/2006/relationships/hyperlink" Id="rId111" Target="https://doi.org/10.2307/20159604" TargetMode="External" /><Relationship Type="http://schemas.openxmlformats.org/officeDocument/2006/relationships/hyperlink" Id="rId97" Target="https://doi.org/10.2307/2393553" TargetMode="External" /><Relationship Type="http://schemas.openxmlformats.org/officeDocument/2006/relationships/hyperlink" Id="rId103" Target="https://doi.org/10.2307/256948" TargetMode="External" /><Relationship Type="http://schemas.openxmlformats.org/officeDocument/2006/relationships/hyperlink" Id="rId93" Target="https://doi.org/10.25300/MISQ/2013/37:2.3" TargetMode="External" /><Relationship Type="http://schemas.openxmlformats.org/officeDocument/2006/relationships/hyperlink" Id="rId118" Target="https://doi.org/10.3368/jhr.50.2.301" TargetMode="External" /><Relationship Type="http://schemas.openxmlformats.org/officeDocument/2006/relationships/hyperlink" Id="rId95" Target="https://doi.org/10.5465/amj.2008.33665310" TargetMode="External" /><Relationship Type="http://schemas.openxmlformats.org/officeDocument/2006/relationships/hyperlink" Id="rId107" Target="https://doi.org/10.5465/amj.2009.0703" TargetMode="External" /><Relationship Type="http://schemas.openxmlformats.org/officeDocument/2006/relationships/hyperlink" Id="rId102" Target="https://doi.org/10.5465/amr.1984.4277628" TargetMode="External" /><Relationship Type="http://schemas.openxmlformats.org/officeDocument/2006/relationships/hyperlink" Id="rId116" Target="https://doi.org/10.5465/amr.2003.9416341" TargetMode="External" /><Relationship Type="http://schemas.openxmlformats.org/officeDocument/2006/relationships/hyperlink" Id="rId101" Target="https://doi.org/10.5465/amr.2007.2434525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2026-05-16T18:32:41Z</dcterms:created>
  <dcterms:modified xsi:type="dcterms:W3CDTF">2026-05-16T18:32:41Z</dcterms:modified>
</cp:coreProperties>
</file>

<file path=docProps/custom.xml><?xml version="1.0" encoding="utf-8"?>
<Properties xmlns="http://schemas.openxmlformats.org/officeDocument/2006/custom-properties" xmlns:vt="http://schemas.openxmlformats.org/officeDocument/2006/docPropsVTypes"/>
</file>