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an emerging market and examines how foreign-technology capability and foundational digital adoption are associated with firm productivity under conditions of institutional and digital transition. Focusing on Vietnam, the study asks whether export intensity is nonlinearly associated with labour productivity and whether the two capability constructs play distinct, wave-specific roles.</w:t>
      </w:r>
    </w:p>
    <w:p>
      <w:pPr>
        <w:pStyle w:val="BodyText"/>
      </w:pPr>
      <w:r>
        <w:rPr>
          <w:bCs/>
          <w:b/>
        </w:rPr>
        <w:t xml:space="preserve">Design/methodology/approach.</w:t>
      </w:r>
      <w:r>
        <w:t xml:space="preserve"> </w:t>
      </w:r>
      <w:r>
        <w:t xml:space="preserve">The study uses three waves of World Bank Enterprise Survey microdata for Vietnam (2009, 2015 and 2023; pooled N = 2,958) and estimates wave-specific and pooled ordinary least squares (OLS) models with HC1 robust standard errors, a quadratic export-intensity term, and interaction specifications. A Technological Capability Index (TCI) built from internationally recognised quality certification and foreign-licensed technology is distinguished from a foundational Digital Adoption Index (DAI) based on website presence, with no shared items between the two constructs.</w:t>
      </w:r>
    </w:p>
    <w:p>
      <w:pPr>
        <w:pStyle w:val="BodyText"/>
      </w:pPr>
      <w:r>
        <w:rPr>
          <w:bCs/>
          <w:b/>
        </w:rPr>
        <w:t xml:space="preserve">Findings.</w:t>
      </w:r>
      <w:r>
        <w:t xml:space="preserve"> </w:t>
      </w:r>
      <w:r>
        <w:t xml:space="preserve">The productivity returns of internationalisation concentrate at the participation margin, the step from non-exporting to exporting, while within-exporter intensity yields diminishing to null marginal returns. The pooled inverted-U pattern (turning points 39-46% of foreign sales to total sales) is identified mainly through this participation step rather than through dense curvature within the exporter subsample. Technological capability shows a positive productivity association in all three waves; foundational digital adoption is positive in 2009 and 2023 but null in 2015, and instrumental-variable estimation indicates that the OLS-estimated positive digital-adoption association is likely selection-driven rather than causal.</w:t>
      </w:r>
    </w:p>
    <w:p>
      <w:pPr>
        <w:pStyle w:val="BodyText"/>
      </w:pPr>
      <w:r>
        <w:rPr>
          <w:bCs/>
          <w:b/>
        </w:rPr>
        <w:t xml:space="preserve">Originality/value.</w:t>
      </w:r>
      <w:r>
        <w:t xml:space="preserve"> </w:t>
      </w:r>
      <w:r>
        <w:t xml:space="preserve">The study contributes to emerging-market international business research by distinguishing foreign-technology capability from foundational digital adoption and by showing that pooled digital effects can mask substantial temporal heterogeneity. The findings suggest that the productivity relevance of basic digital adoption is context-sensitive and wave-specific rather than uniformly stable across stages of internationalisation.</w:t>
      </w:r>
    </w:p>
    <w:p>
      <w:pPr>
        <w:pStyle w:val="BodyText"/>
      </w:pPr>
      <w:r>
        <w:rPr>
          <w:bCs/>
          <w:b/>
        </w:rPr>
        <w:t xml:space="preserve">Keywords:</w:t>
      </w:r>
      <w:r>
        <w:t xml:space="preserve"> </w:t>
      </w:r>
      <w:r>
        <w:t xml:space="preserve">internationalisation-performance; emerging markets; digital adoption; technological capability; Vietnam; firm productivity.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1" w:name="highlights"/>
    <w:p>
      <w:pPr>
        <w:pStyle w:val="Heading2"/>
      </w:pPr>
      <w:r>
        <w:t xml:space="preserve">Highlights</w:t>
      </w:r>
    </w:p>
    <w:p>
      <w:pPr>
        <w:pStyle w:val="FirstParagraph"/>
      </w:pPr>
      <w:r>
        <w:t xml:space="preserve">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 Recent firm-level evidence from Vietnam confirms the bidirectional productivity-export learning loop in SMEs (Nguyen et al., 2025; Dang et al., 2024) and highlights digital transformation as a strong predictor of export performance under intensifying global competition (Tran et al., 2025; Ngo et al., 2024).</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8"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Dang, T. M. D., Le, V., &amp; Nguyen, T. T. (2024). Export persistence and productivity in Vietnam: Who learns?</w:t>
      </w:r>
      <w:r>
        <w:t xml:space="preserve"> </w:t>
      </w:r>
      <w:r>
        <w:rPr>
          <w:iCs/>
          <w:i/>
        </w:rPr>
        <w:t xml:space="preserve">Journal of Economic Integration</w:t>
      </w:r>
      <w:r>
        <w:t xml:space="preserve">,</w:t>
      </w:r>
      <w:r>
        <w:t xml:space="preserve"> </w:t>
      </w:r>
      <w:r>
        <w:rPr>
          <w:iCs/>
          <w:i/>
        </w:rPr>
        <w:t xml:space="preserve">39</w:t>
      </w:r>
      <w:r>
        <w:t xml:space="preserve">(2), 234–262.</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Ngo, V. D., Nguyen, T. T., &amp; Hoang, T. T. (2024). Export-specific investments, competitive advantage, and performance in Vietnamese SMEs: The moderating role of domestic market conditions.</w:t>
      </w:r>
      <w:r>
        <w:t xml:space="preserve"> </w:t>
      </w:r>
      <w:r>
        <w:rPr>
          <w:iCs/>
          <w:i/>
        </w:rPr>
        <w:t xml:space="preserve">Journal of Business Research</w:t>
      </w:r>
      <w:r>
        <w:t xml:space="preserve">,</w:t>
      </w:r>
      <w:r>
        <w:t xml:space="preserve"> </w:t>
      </w:r>
      <w:r>
        <w:rPr>
          <w:iCs/>
          <w:i/>
        </w:rPr>
        <w:t xml:space="preserve">176</w:t>
      </w:r>
      <w:r>
        <w:t xml:space="preserve">, 114577.</w:t>
      </w:r>
      <w:r>
        <w:t xml:space="preserve"> </w:t>
      </w:r>
      <w:hyperlink r:id="rId76">
        <w:r>
          <w:rPr>
            <w:rStyle w:val="Hyperlink"/>
          </w:rPr>
          <w:t xml:space="preserve">https://doi.org/10.1016/j.jbusres.2024.114577</w:t>
        </w:r>
      </w:hyperlink>
    </w:p>
    <w:p>
      <w:pPr>
        <w:pStyle w:val="BodyText"/>
      </w:pPr>
      <w:r>
        <w:t xml:space="preserve">Nguyen, D. P. K., Phan, T. M., &amp; Le, T. T. H. (2025). The simultaneous relationship between labor productivity and exports: The case of small and medium-sized enterprises in Vietnam.</w:t>
      </w:r>
      <w:r>
        <w:t xml:space="preserve"> </w:t>
      </w:r>
      <w:r>
        <w:rPr>
          <w:iCs/>
          <w:i/>
        </w:rPr>
        <w:t xml:space="preserve">Ho Chi Minh City Open University Journal of Science: Economics and Business Administration</w:t>
      </w:r>
      <w:r>
        <w:t xml:space="preserve">,</w:t>
      </w:r>
      <w:r>
        <w:t xml:space="preserve"> </w:t>
      </w:r>
      <w:r>
        <w:rPr>
          <w:iCs/>
          <w:i/>
        </w:rPr>
        <w:t xml:space="preserve">20</w:t>
      </w:r>
      <w:r>
        <w:t xml:space="preserve">(1), 1–18.</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Tran, T. T., Le, T. H., &amp; Pham, V. K. (2025). The impact of innovation-driven digital transformation on export performance of SMEs.</w:t>
      </w:r>
      <w:r>
        <w:t xml:space="preserve"> </w:t>
      </w:r>
      <w:r>
        <w:rPr>
          <w:iCs/>
          <w:i/>
        </w:rPr>
        <w:t xml:space="preserve">Emerging Science Journal</w:t>
      </w:r>
      <w:r>
        <w:t xml:space="preserve">,</w:t>
      </w:r>
      <w:r>
        <w:t xml:space="preserve"> </w:t>
      </w:r>
      <w:r>
        <w:rPr>
          <w:iCs/>
          <w:i/>
        </w:rPr>
        <w:t xml:space="preserve">9</w:t>
      </w:r>
      <w:r>
        <w:t xml:space="preserve">(2), 451–467.</w:t>
      </w:r>
      <w:r>
        <w:t xml:space="preserve"> </w:t>
      </w:r>
      <w:hyperlink r:id="rId77">
        <w:r>
          <w:rPr>
            <w:rStyle w:val="Hyperlink"/>
          </w:rPr>
          <w:t xml:space="preserve">https://doi.org/10.28991/ESJ-2025-09-02-018</w:t>
        </w:r>
      </w:hyperlink>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76" Target="https://doi.org/10.1016/j.jbusres.2024.114577" TargetMode="External" /><Relationship Type="http://schemas.openxmlformats.org/officeDocument/2006/relationships/hyperlink" Id="rId77" Target="https://doi.org/10.28991/ESJ-2025-09-02-018"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j.jbusres.2024.114577" TargetMode="External" /><Relationship Type="http://schemas.openxmlformats.org/officeDocument/2006/relationships/hyperlink" Id="rId77" Target="https://doi.org/10.28991/ESJ-2025-09-0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2026-05-21T04:47:56Z</dcterms:created>
  <dcterms:modified xsi:type="dcterms:W3CDTF">2026-05-21T04:47:56Z</dcterms:modified>
</cp:coreProperties>
</file>

<file path=docProps/custom.xml><?xml version="1.0" encoding="utf-8"?>
<Properties xmlns="http://schemas.openxmlformats.org/officeDocument/2006/custom-properties" xmlns:vt="http://schemas.openxmlformats.org/officeDocument/2006/docPropsVTypes"/>
</file>