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1-giới-thiệu"/>
    <w:p>
      <w:pPr>
        <w:pStyle w:val="Heading1"/>
      </w:pPr>
      <w:r>
        <w:t xml:space="preserve">CHƯƠNG 1: GIỚI THIỆU</w:t>
      </w:r>
    </w:p>
    <w:bookmarkEnd w:id="20"/>
    <w:p>
      <w:r>
        <w:pict>
          <v:rect style="width:0;height:1.5pt" o:hralign="center" o:hrstd="t" o:hr="t"/>
        </w:pict>
      </w:r>
    </w:p>
    <w:bookmarkStart w:id="23"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kinh doanh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hoạt động kinh doanh của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phổ thể chế đặc biệt phong phú để kiểm định. Luận án này tiếp cận phổ thể chế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1" w:name="X756fc8a07162cdb375f09945034083eda48ddb2"/>
    <w:p>
      <w:pPr>
        <w:pStyle w:val="Heading3"/>
      </w:pPr>
      <w:r>
        <w:t xml:space="preserve">1.1.1 Bối cảnh đương đại: thách thức việc làm, phổ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hoạt động kinh doanh của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hoạt động kinh doanh của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1"/>
    <w:bookmarkStart w:id="22"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hoạt động kinh doanh của doanh nghiệp gắn trực tiếp với năng lực hấp thụ lực lượng lao động trẻ đang gia tăng nhanh trong khu vực.</w:t>
      </w:r>
    </w:p>
    <w:p>
      <w:pPr>
        <w:pStyle w:val="BodyText"/>
      </w:pPr>
      <w:r>
        <w:t xml:space="preserve">Phổ thể chế (institutional spectrum)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22"/>
    <w:bookmarkEnd w:id="23"/>
    <w:bookmarkStart w:id="24"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kinh doanh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cần được phát biểu sắc nét hơn để làm rõ rằng chúng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Về khoảng trống thứ nhất, không một lý thuyết đơn lẻ nào, dù là mô hình Uppsala, lý thuyết dựa trên nguồn lực hay lý thuyết thể chế, cung cấp được một lý giải đầy đủ cho sự dị biệt đó, bởi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w:t>
      </w:r>
    </w:p>
    <w:p>
      <w:pPr>
        <w:pStyle w:val="BodyText"/>
      </w:pPr>
      <w:r>
        <w:t xml:space="preserve">Về khoảng trống thứ hai, sự đồng nhất không hợp lý giữa năng lực công nghệ và mức độ chấp nhận số không chỉ là vấn đề tinh chỉnh đo lường mà có hệ quả lý thuyết trực tiếp. Khi hai cấu trúc có chiều sâu tổ chức khác nhau bị gộp thành một chỉ số tổng hợp duy nhất, hai cơ chế tác động có thể trái chiều sẽ bị trung bình hóa, làm che khuất chính cơ chế mà nhà quản trị và nhà hoạch định chính sách cần phân biệt khi quyết định đầu tư vào chiều sâu năng lực hay vào công cụ giao diện.</w:t>
      </w:r>
    </w:p>
    <w:p>
      <w:pPr>
        <w:pStyle w:val="BodyText"/>
      </w:pPr>
      <w:r>
        <w:t xml:space="preserve">Về khoảng trống thứ ba, sự thiếu đại diện của các nền kinh tế chuyển đổi và các nền kinh tế đảo nhỏ đang phát triển không chỉ thu hẹp phạm vi mẫu mà còn làm suy yếu khả năng kiểm định điều kiện biên của lý thuyết. Các nỗ lực tái lặp quy mô lớn với chiến lược nhận diện chặt chẽ cho thấy dạng hàm chữ U ngược suy yếu đáng kể, thậm chí biến mất, trong các mẫu gộp xuyên quốc gia (Berry &amp; Kaul, 2016; Pisani et al., 2020), củng cố lập luận rằng chính dị biệt bối cảnh, chứ không phải một quy luật phổ quát, mới chi phối kết quả quốc tế hóa và hiệu quả. Đúng các địa điểm cực trị về thể chế, nơi điều kiện biên dễ bộc lộ nhất, lại là nơi tài liệu thiếu vắng bằng chứng nhất.</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24"/>
    <w:bookmarkStart w:id="25"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kinh doanh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chỉ số năng lực công nghệ, technological capability index, TCI, và chỉ số chấp nhận số, digital adoption index, DAI), và đặc điểm nhà quản trị cấp cao (kinh nghiệm và giới tính).</w:t>
      </w:r>
    </w:p>
    <w:p>
      <w:r>
        <w:pict>
          <v:rect style="width:0;height:1.5pt" o:hralign="center" o:hrstd="t" o:hr="t"/>
        </w:pict>
      </w:r>
    </w:p>
    <w:bookmarkEnd w:id="25"/>
    <w:bookmarkStart w:id="26"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kinh doanh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kinh doanh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chỉ số năng lực công nghệ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26"/>
    <w:bookmarkStart w:id="31" w:name="đối-tượng-và-phạm-vi-nghiên-cứu"/>
    <w:p>
      <w:pPr>
        <w:pStyle w:val="Heading2"/>
      </w:pPr>
      <w:r>
        <w:t xml:space="preserve">1.5 Đối tượng và phạm vi nghiên cứu</w:t>
      </w:r>
    </w:p>
    <w:bookmarkStart w:id="27"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kinh doanh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27"/>
    <w:bookmarkStart w:id="28"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dựa trên tài nguyên,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28"/>
    <w:bookmarkStart w:id="29"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29"/>
    <w:bookmarkStart w:id="30"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0"/>
    <w:bookmarkEnd w:id="31"/>
    <w:bookmarkStart w:id="32"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32"/>
    <w:bookmarkStart w:id="33"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kinh doanh của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chỉ số năng lực công nghệ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chấp nhận số nền tảng,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phổ thể chế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w:t>
      </w:r>
      <w:r>
        <w:t xml:space="preserve"> </w:t>
      </w:r>
      <w:r>
        <w:rPr>
          <w:bCs/>
          <w:b/>
        </w:rPr>
        <w:t xml:space="preserve">mất cấu trúc</w:t>
      </w:r>
      <w:r>
        <w:t xml:space="preserve"> </w:t>
      </w:r>
      <w:r>
        <w:t xml:space="preserve">(mất cả độ cong lẫn độ dốc có ý nghĩa), với quan hệ nghiêng về một dạng</w:t>
      </w:r>
      <w:r>
        <w:t xml:space="preserve"> </w:t>
      </w:r>
      <w:r>
        <w:rPr>
          <w:bCs/>
          <w:b/>
        </w:rPr>
        <w:t xml:space="preserve">âm đơn điệu</w:t>
      </w:r>
      <w:r>
        <w:t xml:space="preserve"> </w:t>
      </w:r>
      <w:r>
        <w:t xml:space="preserve">như trường hợp giới hạn lý thuyết,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33"/>
    <w:bookmarkStart w:id="37" w:name="ý-nghĩa-khoa-học-và-thực-tiễn"/>
    <w:p>
      <w:pPr>
        <w:pStyle w:val="Heading2"/>
      </w:pPr>
      <w:r>
        <w:t xml:space="preserve">1.8 Ý nghĩa khoa học và thực tiễn</w:t>
      </w:r>
    </w:p>
    <w:bookmarkStart w:id="34" w:name="đóng-góp-lý-thuyết"/>
    <w:p>
      <w:pPr>
        <w:pStyle w:val="Heading3"/>
      </w:pPr>
      <w:r>
        <w:t xml:space="preserve">1.8.1 Đóng góp lý thuyết</w:t>
      </w:r>
    </w:p>
    <w:p>
      <w:pPr>
        <w:pStyle w:val="FirstParagraph"/>
      </w:pPr>
      <w:r>
        <w:t xml:space="preserve">Về mặt lý thuyết, luận án đóng góp vào tài liệu kinh doanh quốc tế theo ba hướng chính. Hướng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Hướng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Hướng thứ ba là tái định vị mô hình Uppsala trong bối cảnh kỷ nguyên AI bằng cách mở rộng cơ chế học hỏi để bao gồm</w:t>
      </w:r>
      <w:r>
        <w:t xml:space="preserve"> </w:t>
      </w:r>
      <w:r>
        <w:t xml:space="preserve">“</w:t>
      </w:r>
      <w:r>
        <w:t xml:space="preserve">học hỏi tăng cường bằng dữ liệu</w:t>
      </w:r>
      <w:r>
        <w:t xml:space="preserve">”</w:t>
      </w:r>
      <w:r>
        <w:t xml:space="preserve">, phù hợp với xu hướng quốc tế hóa được số hóa hỗ trợ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hướng đóng góp lý thuyết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phổ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34"/>
    <w:bookmarkStart w:id="35"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hiệu ứng điều tiết của thể chế trong tài liệu kinh doanh quốc tế.</w:t>
      </w:r>
    </w:p>
    <w:bookmarkEnd w:id="35"/>
    <w:bookmarkStart w:id="36"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phổ thể chế,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phổ thể chế.</w:t>
      </w:r>
    </w:p>
    <w:bookmarkEnd w:id="36"/>
    <w:bookmarkEnd w:id="37"/>
    <w:bookmarkStart w:id="38"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trường hợp ranh giới cực đoan, đây là lần đầu tiên một hệ thống phân loại đủ mịn như vậy được áp dụng trong nghiên cứu thực nghiệm về quan hệ quốc tế hóa và hiệu quả tại châu Á. Điểm mới thứ tư là mẫu gộp dữ liệu lớn nhất từ trước đến nay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ổn định theo thời gian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w:t>
      </w:r>
      <w:r>
        <w:t xml:space="preserve"> </w:t>
      </w:r>
      <w:r>
        <w:rPr>
          <w:bCs/>
          <w:b/>
        </w:rPr>
        <w:t xml:space="preserve">gánh nặng quốc tế hóa bắt buộc (Forced Internationalization Penalty, FIP)</w:t>
      </w:r>
      <w:r>
        <w:t xml:space="preserve"> </w:t>
      </w:r>
      <w:r>
        <w:t xml:space="preserve">cho bối cảnh các nền kinh tế đảo nhỏ Thái Bình Dương, lần đầu tiên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phổ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38"/>
    <w:bookmarkStart w:id="39"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yếu tố nâng mặt bằng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Tầng 1 và 2 khuếch đại đường cong quốc tế hóa và hiệu quả.</w:t>
      </w:r>
      <w:r>
        <w:t xml:space="preserve"> </w:t>
      </w:r>
      <w:r>
        <w:rPr>
          <w:bCs/>
          <w:b/>
        </w:rPr>
        <w:t xml:space="preserve">P5</w:t>
      </w:r>
      <w:r>
        <w:t xml:space="preserve"> </w:t>
      </w:r>
      <w:r>
        <w:t xml:space="preserve">(Trung Quốc, IJOEM, đang phản biện): kiểm định ổn định theo thời gian,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phổ thể chế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MIR/IJOEM, đang bình duyệt): độ bền ngưỡng quốc tế hóa và hiệu quả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Tầng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phổ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tăng trưởng doanh thu trong các kiểm định độ vững; TCI là chỉ số năng lực công nghệ; DAI là chỉ số chấp nhận số (digital adoption index), được hiểu như biến đại diện chấp nhận số nền tảng; ICRV là khung phân loại thể chế 6 nhóm được phát triển cho luận án này; WBES là World Bank Enterprise Surveys.</w:t>
      </w:r>
    </w:p>
    <w:bookmarkEnd w:id="3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2026-06-23T10:34:17Z</dcterms:created>
  <dcterms:modified xsi:type="dcterms:W3CDTF">2026-06-23T10:34:17Z</dcterms:modified>
</cp:coreProperties>
</file>

<file path=docProps/custom.xml><?xml version="1.0" encoding="utf-8"?>
<Properties xmlns="http://schemas.openxmlformats.org/officeDocument/2006/custom-properties" xmlns:vt="http://schemas.openxmlformats.org/officeDocument/2006/docPropsVTypes"/>
</file>