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FSTS) thành hiệu quả sản xuất. Sử dụng vi dữ liệu từ 91.982 doanh nghiệp tại 49 nền kinh tế và 102 đợt khảo sát quốc gia-năm thuộc Khảo sát Doanh nghiệp Thế giới (World Bank Enterprise Survey, WBES) giai đoạn 2003–2025, bao trùm cả sáu nhóm chế độ theo Biến thiên chế độ thể chế (Institutional Context Regime Variation,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 6%, p =, 002). Chỉ số năng lực công nghệ (Technological Capability Index, TCI) nâng cao mức hiệu quả doanh nghiệp mà không tái tạo đường cong một cách đáng tin cậy. Chỉ số áp dụng số (Digital Adoption Index,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Advanced Innovation) đến ~55% (Nhóm V–VI, Frontier/SIDS).</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khu vực chiếm hơn một nửa xuất khẩu hàng hóa toàn cầu (UNCTAD, 2023),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 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RBV) (Barney, 1991; Wernerfelt, 1984) định vị các năng lực cấp doanh nghiệp, công nghệ, số và quản lý,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 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được đo bằng chỉ số tổng hợp gồm chứng nhận chất lượng, áp dụng công nghệ nước ngoài, đổi mới quy trình và R&amp;D,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 179, được xác định bằng IV) và P5 Trung Quốc (β(TCI) tăng từ +0, 28 lên +0, 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đo bằng sự hiện diện website (Tầng 1) và tỷ phần thanh toán điện tử (Tầng 2), liên quan đến giảm chi phí giao tiếp và giao dịch (Verhoef et al., 2021). Trong Mô hình Năng lực Số Phụ thuộc Bối cảnh (Context-Contingent Digital Capability Model,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tương quan với áp dụng số,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Đổi mới tiên tiến: Singapore, Hàn Quốc, Đài Loan, Israel, Síp) đến Nhóm VI (SIDS,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X04a517dd5a14ea73a401e4e8e76b17647fe8cfb"/>
    <w:p>
      <w:pPr>
        <w:pStyle w:val="Heading2"/>
      </w:pPr>
      <w:r>
        <w:t xml:space="preserve">3. Dữ Liệu và Phương Pháp</w:t>
      </w:r>
    </w:p>
    <w:bookmarkStart w:id="30"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chọn file lớn nhất theo cặp (quốc gia, năm) khi tồn tại nhiều bản tải lên.</w:t>
      </w:r>
    </w:p>
    <w:bookmarkEnd w:id="30"/>
    <w:bookmarkStart w:id="31"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 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X7bb3fee78b87f48d0c2473c5ced53c572ee4cbc"/>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Xae8378676e5b2087f2c831a0063b0189cd3c5f5"/>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Xc1528237297c4ce8999628372a6b48494fd6214"/>
    <w:p>
      <w:pPr>
        <w:pStyle w:val="Heading2"/>
      </w:pPr>
      <w:r>
        <w:t xml:space="preserve">4. Kết Quả</w:t>
      </w:r>
    </w:p>
    <w:bookmarkStart w:id="35" w:name="X270692b7fb857c24731b5eb1b9637ba60d98ddf"/>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 5, loại trừ mối lo ngại về đa cộng tuyến.</w:t>
      </w:r>
    </w:p>
    <w:bookmarkEnd w:id="35"/>
    <w:bookmarkStart w:id="36"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 316 (p &lt;, 001) và β₂ = −1, 810 (p &lt;, 001), nhất quán với hình chữ U ngược. Theo Haans, Pieters và He (2016), cả bốn điều kiện chính thức cho hình chữ U ngược thực sự đều thỏa mãn trong M2: (C1) β₁ = +1, 316 (p &lt;, 001), xác nhận nhánh lên dương tính; (C2) β₂ = −1, 810 (p &lt;, 001), xác nhận độ lõm; (C3) điểm ngưỡng TP* ≈ 36, 4% nằm trong phạm vi quan sát FSTS [0%, 100%]; và (C4) hiệu ứng biên của quốc tế hóa là dương tính tại ranh giới dữ liệu thấp hơn (FSTS ≈ 0%, độ dốc ≈ +1, 32) và âm tính tại ranh giới trên (FSTS ≈ 100%, độ dốc ≈ −2, 30), với các dấu ngược chiều được xác nhận bởi kiểm định u Lind–Mehlum (2010) (p chung &lt;, 001). Hình chữ U ngược vẫn có ý nghĩa khi thêm biến kiểm soát (M3: TP = 33, 8%, LM p &lt;, 001) và khi FE quốc gia-năm hấp thụ toàn bộ không đồng nhất quốc gia không quan sát được biến thiên theo thời gian (M5: TP = 40, 0%, LM p &lt;, 001, adjR² =, 677). Sự nhất quán của điểm ngưỡng qua M2, M3 và M5, dao động từ 33, 8% đến 40, 0%,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 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 321, p &lt;, 001) nâng adjR² từ, 015 lên, 024. Mô hình tương tác M7 thêm FSTS×TCI và FSTS²×TCI. Kết quả cho thấy:</w:t>
      </w:r>
    </w:p>
    <w:p>
      <w:pPr>
        <w:numPr>
          <w:ilvl w:val="0"/>
          <w:numId w:val="1002"/>
        </w:numPr>
        <w:pStyle w:val="Compact"/>
      </w:pPr>
      <w:r>
        <w:t xml:space="preserve">Tác động chính TCI: β = +0, 344 (p &lt;, 001), TCI cao hơn nâng cao hiệu quả cơ sở</w:t>
      </w:r>
    </w:p>
    <w:p>
      <w:pPr>
        <w:numPr>
          <w:ilvl w:val="0"/>
          <w:numId w:val="1002"/>
        </w:numPr>
        <w:pStyle w:val="Compact"/>
      </w:pPr>
      <w:r>
        <w:t xml:space="preserve">FSTS×TCI: β = −0, 144 (NS), tương tác nhánh lên không có ý nghĩa thống kê</w:t>
      </w:r>
    </w:p>
    <w:p>
      <w:pPr>
        <w:numPr>
          <w:ilvl w:val="0"/>
          <w:numId w:val="1002"/>
        </w:numPr>
        <w:pStyle w:val="Compact"/>
      </w:pPr>
      <w:r>
        <w:t xml:space="preserve">FSTS²×TCI: β = −0, 137 (NS trong M7; vẫn NS trong M8, p =, 129)</w:t>
      </w:r>
    </w:p>
    <w:p>
      <w:pPr>
        <w:pStyle w:val="FirstParagraph"/>
      </w:pPr>
      <w:r>
        <w:t xml:space="preserve">Kiểm định F chung cho hai số hạng tương tác TCI không có ý nghĩa thống kê qua M7–M9. Hình chữ U ngược vẫn được xác nhận trong M7 (TP = 33, 9%, LM p &lt;, 001). Tăng một độ lệch chuẩn TCI nâng năng suất lao động lên exp(0, 344) − 1 ≈ 41% tại mức FSTS trung bình,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 155, p &lt;, 001), nhất quán với phần bù hiệu quả khoảng 17% cho các doanh nghiệp hoạt động số (exp(0, 155) − 1 ≈ 17%). Đáng chú ý là cả hai số hạng tương tác DAI đều có ý nghĩa thống kê trong M8: FSTS×DAI = −0, 614 (p &lt;, 001, ***) và FSTS²×DAI = +0, 766 (p =, 001, **). Mẫu tương tác, FSTS×DAI âm tính và FSTS²×DAI dương tính,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 780 (p &lt;, 001, ***) và FSTS²×DAI = +0, 994 (p &lt;, 001, ***). Hình chữ U ngược được duy trì trong cả hai đặc tả (M8: TP = 33, 8%; M9: TP = 36, 1%).</w:t>
      </w:r>
    </w:p>
    <w:p>
      <w:pPr>
        <w:pStyle w:val="BodyText"/>
      </w:pPr>
      <w:r>
        <w:rPr>
          <w:bCs/>
          <w:b/>
        </w:rPr>
        <w:t xml:space="preserve">H3 được ủng hộ.</w:t>
      </w:r>
      <w:r>
        <w:t xml:space="preserve"> </w:t>
      </w:r>
      <w:r>
        <w:t xml:space="preserve">DAI nâng cao hiệu quả doanh nghiệp khoảng 16% và định hình lại đáng kể đường cong I–P, nén nhánh lên và giảm nhẹ suy giảm hiệu quả ở mức FSTS cao, ngay cả trước khi kiểm soát đặc điểm nhà quản lý. Đây là phát hiện điều tiết năng lực chính của nghiên cứu.</w:t>
      </w:r>
    </w:p>
    <w:bookmarkEnd w:id="38"/>
    <w:bookmarkStart w:id="39"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 007, p =, 026) và nhà quản lý nữ cấp cao (β = +0, 185, p &lt;, 001) đều nâng cao hiệu quả doanh nghiệp độc lập với FSTS trong M9. Hiệu ứng kinh nghiệm ngụ ý khoảng 0, 7% năng suất lao động cao hơn trên mỗi năm kinh nghiệm ngành bổ sung; hiệu ứng nhà quản lý nữ cấp cao ngụ ý khoảng 20% phần bù hiệu quả (exp(0, 185) − 1 ≈ 20%). Tương tác FSTS×kinh_nghiệm_nhà_quản_lý không có ý nghĩa thống kê trong M9 (β = −0, 012, p =, 133), nhưng đạt p =, 053 trong M11 (β = −0, 019,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 763, p &lt;, 001) cho thấy, khi kiểm soát TCI, DAI và đặc điểm doanh nghiệp, mỗi bậc tiến lên thang đo ICRV (từ Nhóm I đến Nhóm VI, tức từ thể chế mạnh hơn đến yếu hơn) tương quan với mức năng suất lao động cao hơn khoảng 115% (exp(0, 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 762, p &lt;, 001) và FSTS²×ICRV (β = −2, 746, p &lt;, 001). Điều này cho thấy độ dốc lên của đường cong I–P dốc hơn ở các nền kinh tế thể chế yếu hơn (nhóm ICRV cao hơn), nhưng độ dốc xuống cũng vậy,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Đổi mới tiên tiến), điểm ngưỡng ước tính là khoảng 28%; với Nhóm V–VI (Frontier/SIDS,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Xf02a6301555d1cf183f39fea0af0e1c0f2e5346"/>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 6%, LM p =, 002), thiết lập rằng hình chữ U ngược giữ vững ngay cả trong đặc tả đòi hỏi nhất. Tương tác DAI×ICRV (β = +0, 060, p =, 012, *) có ý nghĩa thống kê, nhất quán với dự đoán CDCM rằng năng lực số cung cấp hiệu ứng hiệu quả mạnh hơn trên mỗi đơn vị trong môi trường thể chế yếu hơn. Số hạng ba chiều FSTS×DAI×ICRV (β = −0, 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X3923f9545aa9c992e02ccb4472a40e02686b4e2"/>
    <w:p>
      <w:pPr>
        <w:pStyle w:val="Heading2"/>
      </w:pPr>
      <w:r>
        <w:t xml:space="preserve">5. Thảo Luận</w:t>
      </w:r>
    </w:p>
    <w:bookmarkStart w:id="43" w:name="X52a456ff741b3aa636123e3e3d4e965f1904974"/>
    <w:p>
      <w:pPr>
        <w:pStyle w:val="Heading3"/>
      </w:pPr>
      <w:r>
        <w:t xml:space="preserve">5.1 Giải Quyết Tính Không Đồng Nhất Qua Các Nghiên Cứu</w:t>
      </w:r>
    </w:p>
    <w:p>
      <w:pPr>
        <w:pStyle w:val="FirstParagraph"/>
      </w:pPr>
      <w:r>
        <w:t xml:space="preserve">Phát hiện trung tâm, hình chữ U ngược với điểm ngưỡng khoảng 36% cường độ doanh số nước ngoài, vững trên 49 nền kinh tế và sáu nhóm ICRV,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d51eb374dfcd7d71a0b4c49daadfb7b6168cd9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X97d3aad815c0c774f5983afb9841b2729632868"/>
    <w:p>
      <w:pPr>
        <w:pStyle w:val="Heading3"/>
      </w:pPr>
      <w:r>
        <w:t xml:space="preserve">5.3 Áp Dụng Số và Tính Bổ Sung Thể Chế</w:t>
      </w:r>
    </w:p>
    <w:p>
      <w:pPr>
        <w:pStyle w:val="FirstParagraph"/>
      </w:pPr>
      <w:r>
        <w:t xml:space="preserve">Việc tái tạo đường cong bổ sung năng lực tìm thấy cho DAI trong M9, và tương tác DAI×ICRV có ý nghĩa thống kê (β = +0, 060, p =, 012) trong M11,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X6b31c401d1ad2511815510eb77b10f681f43f65"/>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một trong những nền kinh tế Nhóm IV ICRV lớn nhất trong mẫu, với tỷ lệ tham gia lực lượng lao động nữ-trên-nam là 88, 61% (World Bank Prosperity Data360, 2025),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 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X1db92cff7de439f7ce5498ad6566fddb73002b1"/>
    <w:p>
      <w:pPr>
        <w:pStyle w:val="Heading3"/>
      </w:pPr>
      <w:r>
        <w:t xml:space="preserve">5.5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Xb6340858ada32986909ac4c0a6855391782490d"/>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nền kinh tế Nhóm IV ICRV lớn nhất trong mẫu, cho thấy PMI sản xuất giảm xuống 45, 3 (thu hẹp) vào tháng 3/2026 khi đơn đặt hàng xuất khẩu mới sụp đổ sau khi mở cuộc điều tra của đại diện thương mại Mỹ; nhập khẩu hàng hóa đã tăng 27, 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rằng các doanh nghiệp Nhóm IV phải đối mặt với hình phạt nhánh xuống dốc hơn,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sửa chính tả, ngữ pháp, và dấu câu trong văn bản gốc của chính (các) tác giả. Không có công cụ trí tuệ nhân tạo tạo sinh nào được dùng để tạo, soạn thảo, hay sản sinh nội dung thực chất, phân tích, hay diễn giải nào. (Các) tác giả chịu trách nhiệm hoàn toàn về nội dung công bố.</w:t>
      </w:r>
    </w:p>
    <w:bookmarkEnd w:id="50"/>
    <w:bookmarkStart w:id="75"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1">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2">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3">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4">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5">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6">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7">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8">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9">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0">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2">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63">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4">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5">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6">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7">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8">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9">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0">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1">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2">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3">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4">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5"/>
    <w:bookmarkStart w:id="76"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 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 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 003</w:t>
            </w:r>
          </w:p>
        </w:tc>
        <w:tc>
          <w:tcPr/>
          <w:p>
            <w:pPr>
              <w:pStyle w:val="Compact"/>
              <w:jc w:val="left"/>
            </w:pPr>
            <w:r>
              <w:rPr>
                <w:bCs/>
                <w:b/>
              </w:rPr>
              <w:t xml:space="preserve">36, 4</w:t>
            </w:r>
          </w:p>
        </w:tc>
        <w:tc>
          <w:tcPr/>
          <w:p>
            <w:pPr>
              <w:pStyle w:val="Compact"/>
              <w:jc w:val="left"/>
            </w:pPr>
            <w:r>
              <w:t xml:space="preserve">&lt;, 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 015</w:t>
            </w:r>
          </w:p>
        </w:tc>
        <w:tc>
          <w:tcPr/>
          <w:p>
            <w:pPr>
              <w:pStyle w:val="Compact"/>
              <w:jc w:val="left"/>
            </w:pPr>
            <w:r>
              <w:rPr>
                <w:bCs/>
                <w:b/>
              </w:rPr>
              <w:t xml:space="preserve">33, 8</w:t>
            </w:r>
          </w:p>
        </w:tc>
        <w:tc>
          <w:tcPr/>
          <w:p>
            <w:pPr>
              <w:pStyle w:val="Compact"/>
              <w:jc w:val="left"/>
            </w:pPr>
            <w:r>
              <w:t xml:space="preserve">&lt;, 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 677</w:t>
            </w:r>
          </w:p>
        </w:tc>
        <w:tc>
          <w:tcPr/>
          <w:p>
            <w:pPr>
              <w:pStyle w:val="Compact"/>
              <w:jc w:val="left"/>
            </w:pPr>
            <w:r>
              <w:rPr>
                <w:bCs/>
                <w:b/>
              </w:rPr>
              <w:t xml:space="preserve">40, 0</w:t>
            </w:r>
          </w:p>
        </w:tc>
        <w:tc>
          <w:tcPr/>
          <w:p>
            <w:pPr>
              <w:pStyle w:val="Compact"/>
              <w:jc w:val="left"/>
            </w:pPr>
            <w:r>
              <w:t xml:space="preserve">&lt;, 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 024</w:t>
            </w:r>
          </w:p>
        </w:tc>
        <w:tc>
          <w:tcPr/>
          <w:p>
            <w:pPr>
              <w:pStyle w:val="Compact"/>
              <w:jc w:val="left"/>
            </w:pPr>
            <w:r>
              <w:t xml:space="preserve">32, 7</w:t>
            </w:r>
          </w:p>
        </w:tc>
        <w:tc>
          <w:tcPr/>
          <w:p>
            <w:pPr>
              <w:pStyle w:val="Compact"/>
              <w:jc w:val="left"/>
            </w:pPr>
            <w:r>
              <w:t xml:space="preserve">&lt;, 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 025</w:t>
            </w:r>
          </w:p>
        </w:tc>
        <w:tc>
          <w:tcPr/>
          <w:p>
            <w:pPr>
              <w:pStyle w:val="Compact"/>
              <w:jc w:val="left"/>
            </w:pPr>
            <w:r>
              <w:rPr>
                <w:bCs/>
                <w:b/>
              </w:rPr>
              <w:t xml:space="preserve">33, 9</w:t>
            </w:r>
          </w:p>
        </w:tc>
        <w:tc>
          <w:tcPr/>
          <w:p>
            <w:pPr>
              <w:pStyle w:val="Compact"/>
              <w:jc w:val="left"/>
            </w:pPr>
            <w:r>
              <w:t xml:space="preserve">&lt;, 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 030</w:t>
            </w:r>
          </w:p>
        </w:tc>
        <w:tc>
          <w:tcPr/>
          <w:p>
            <w:pPr>
              <w:pStyle w:val="Compact"/>
              <w:jc w:val="left"/>
            </w:pPr>
            <w:r>
              <w:rPr>
                <w:bCs/>
                <w:b/>
              </w:rPr>
              <w:t xml:space="preserve">33, 8</w:t>
            </w:r>
          </w:p>
        </w:tc>
        <w:tc>
          <w:tcPr/>
          <w:p>
            <w:pPr>
              <w:pStyle w:val="Compact"/>
              <w:jc w:val="left"/>
            </w:pPr>
            <w:r>
              <w:t xml:space="preserve">&lt;, 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 035</w:t>
            </w:r>
          </w:p>
        </w:tc>
        <w:tc>
          <w:tcPr/>
          <w:p>
            <w:pPr>
              <w:pStyle w:val="Compact"/>
              <w:jc w:val="left"/>
            </w:pPr>
            <w:r>
              <w:rPr>
                <w:bCs/>
                <w:b/>
              </w:rPr>
              <w:t xml:space="preserve">36, 1</w:t>
            </w:r>
          </w:p>
        </w:tc>
        <w:tc>
          <w:tcPr/>
          <w:p>
            <w:pPr>
              <w:pStyle w:val="Compact"/>
              <w:jc w:val="left"/>
            </w:pPr>
            <w:r>
              <w:t xml:space="preserve">&lt;, 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 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 067</w:t>
            </w:r>
          </w:p>
        </w:tc>
        <w:tc>
          <w:tcPr/>
          <w:p>
            <w:pPr>
              <w:pStyle w:val="Compact"/>
              <w:jc w:val="left"/>
            </w:pPr>
            <w:r>
              <w:rPr>
                <w:bCs/>
                <w:b/>
              </w:rPr>
              <w:t xml:space="preserve">34, 6</w:t>
            </w:r>
          </w:p>
        </w:tc>
        <w:tc>
          <w:tcPr/>
          <w:p>
            <w:pPr>
              <w:pStyle w:val="Compact"/>
              <w:jc w:val="left"/>
            </w:pPr>
            <w:r>
              <w:t xml:space="preserve">, 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 316***</w:t>
            </w:r>
          </w:p>
        </w:tc>
        <w:tc>
          <w:tcPr/>
          <w:p>
            <w:pPr>
              <w:pStyle w:val="Compact"/>
              <w:jc w:val="left"/>
            </w:pPr>
            <w:r>
              <w:t xml:space="preserve">+2, 083***</w:t>
            </w:r>
          </w:p>
        </w:tc>
        <w:tc>
          <w:tcPr/>
          <w:p>
            <w:pPr>
              <w:pStyle w:val="Compact"/>
              <w:jc w:val="left"/>
            </w:pPr>
            <w:r>
              <w:t xml:space="preserve">+2, 000***</w:t>
            </w:r>
          </w:p>
        </w:tc>
        <w:tc>
          <w:tcPr/>
          <w:p>
            <w:pPr>
              <w:pStyle w:val="Compact"/>
              <w:jc w:val="left"/>
            </w:pPr>
            <w:r>
              <w:t xml:space="preserve">+2, 522***</w:t>
            </w:r>
          </w:p>
        </w:tc>
        <w:tc>
          <w:tcPr/>
          <w:p>
            <w:pPr>
              <w:pStyle w:val="Compact"/>
              <w:jc w:val="left"/>
            </w:pPr>
            <w:r>
              <w:t xml:space="preserve">−5, 560***</w:t>
            </w:r>
          </w:p>
        </w:tc>
      </w:tr>
      <w:tr>
        <w:tc>
          <w:tcPr/>
          <w:p>
            <w:pPr>
              <w:pStyle w:val="Compact"/>
              <w:jc w:val="left"/>
            </w:pPr>
            <w:r>
              <w:t xml:space="preserve">FSTS² (β₂)</w:t>
            </w:r>
          </w:p>
        </w:tc>
        <w:tc>
          <w:tcPr/>
          <w:p>
            <w:pPr>
              <w:pStyle w:val="Compact"/>
              <w:jc w:val="left"/>
            </w:pPr>
            <w:r>
              <w:t xml:space="preserve">−1, 810***</w:t>
            </w:r>
          </w:p>
        </w:tc>
        <w:tc>
          <w:tcPr/>
          <w:p>
            <w:pPr>
              <w:pStyle w:val="Compact"/>
              <w:jc w:val="left"/>
            </w:pPr>
            <w:r>
              <w:t xml:space="preserve">−3, 074***</w:t>
            </w:r>
          </w:p>
        </w:tc>
        <w:tc>
          <w:tcPr/>
          <w:p>
            <w:pPr>
              <w:pStyle w:val="Compact"/>
              <w:jc w:val="left"/>
            </w:pPr>
            <w:r>
              <w:t xml:space="preserve">−2, 954***</w:t>
            </w:r>
          </w:p>
        </w:tc>
        <w:tc>
          <w:tcPr/>
          <w:p>
            <w:pPr>
              <w:pStyle w:val="Compact"/>
              <w:jc w:val="left"/>
            </w:pPr>
            <w:r>
              <w:t xml:space="preserve">−3, 497***</w:t>
            </w:r>
          </w:p>
        </w:tc>
        <w:tc>
          <w:tcPr/>
          <w:p>
            <w:pPr>
              <w:pStyle w:val="Compact"/>
              <w:jc w:val="left"/>
            </w:pPr>
            <w:r>
              <w:t xml:space="preserve">+8, 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 344***</w:t>
            </w:r>
          </w:p>
        </w:tc>
        <w:tc>
          <w:tcPr/>
          <w:p>
            <w:pPr>
              <w:pStyle w:val="Compact"/>
              <w:jc w:val="left"/>
            </w:pPr>
            <w:r>
              <w:t xml:space="preserve">+0, 307***</w:t>
            </w:r>
          </w:p>
        </w:tc>
        <w:tc>
          <w:tcPr/>
          <w:p>
            <w:pPr>
              <w:pStyle w:val="Compact"/>
              <w:jc w:val="left"/>
            </w:pPr>
            <w:r>
              <w:t xml:space="preserve">+0, 304***</w:t>
            </w:r>
          </w:p>
        </w:tc>
        <w:tc>
          <w:tcPr/>
          <w:p>
            <w:pPr>
              <w:pStyle w:val="Compact"/>
              <w:jc w:val="left"/>
            </w:pPr>
            <w:r>
              <w:t xml:space="preserve">+0, 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−0, 144</w:t>
            </w:r>
          </w:p>
        </w:tc>
        <w:tc>
          <w:tcPr/>
          <w:p>
            <w:pPr>
              <w:pStyle w:val="Compact"/>
              <w:jc w:val="left"/>
            </w:pPr>
            <w:r>
              <w:t xml:space="preserve">+0, 113</w:t>
            </w:r>
          </w:p>
        </w:tc>
        <w:tc>
          <w:tcPr/>
          <w:p>
            <w:pPr>
              <w:pStyle w:val="Compact"/>
              <w:jc w:val="left"/>
            </w:pPr>
            <w:r>
              <w:t xml:space="preserve">+0, 134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−0, 137</w:t>
            </w:r>
          </w:p>
        </w:tc>
        <w:tc>
          <w:tcPr/>
          <w:p>
            <w:pPr>
              <w:pStyle w:val="Compact"/>
              <w:jc w:val="left"/>
            </w:pPr>
            <w:r>
              <w:t xml:space="preserve">−0, 418</w:t>
            </w:r>
          </w:p>
        </w:tc>
        <w:tc>
          <w:tcPr/>
          <w:p>
            <w:pPr>
              <w:pStyle w:val="Compact"/>
              <w:jc w:val="left"/>
            </w:pPr>
            <w:r>
              <w:t xml:space="preserve">−0, 398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 155***</w:t>
            </w:r>
          </w:p>
        </w:tc>
        <w:tc>
          <w:tcPr/>
          <w:p>
            <w:pPr>
              <w:pStyle w:val="Compact"/>
              <w:jc w:val="left"/>
            </w:pPr>
            <w:r>
              <w:t xml:space="preserve">+0, 145***</w:t>
            </w:r>
          </w:p>
        </w:tc>
        <w:tc>
          <w:tcPr/>
          <w:p>
            <w:pPr>
              <w:pStyle w:val="Compact"/>
              <w:jc w:val="left"/>
            </w:pPr>
            <w:r>
              <w:t xml:space="preserve">+0, 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 614***</w:t>
            </w:r>
          </w:p>
        </w:tc>
        <w:tc>
          <w:tcPr/>
          <w:p>
            <w:pPr>
              <w:pStyle w:val="Compact"/>
              <w:jc w:val="left"/>
            </w:pPr>
            <w:r>
              <w:t xml:space="preserve">−0, 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 766**</w:t>
            </w:r>
          </w:p>
        </w:tc>
        <w:tc>
          <w:tcPr/>
          <w:p>
            <w:pPr>
              <w:pStyle w:val="Compact"/>
              <w:jc w:val="left"/>
            </w:pPr>
            <w:r>
              <w:t xml:space="preserve">+0, 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 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 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 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 003</w:t>
            </w:r>
          </w:p>
        </w:tc>
        <w:tc>
          <w:tcPr/>
          <w:p>
            <w:pPr>
              <w:pStyle w:val="Compact"/>
              <w:jc w:val="left"/>
            </w:pPr>
            <w:r>
              <w:t xml:space="preserve">, 025</w:t>
            </w:r>
          </w:p>
        </w:tc>
        <w:tc>
          <w:tcPr/>
          <w:p>
            <w:pPr>
              <w:pStyle w:val="Compact"/>
              <w:jc w:val="left"/>
            </w:pPr>
            <w:r>
              <w:t xml:space="preserve">, 030</w:t>
            </w:r>
          </w:p>
        </w:tc>
        <w:tc>
          <w:tcPr/>
          <w:p>
            <w:pPr>
              <w:pStyle w:val="Compact"/>
              <w:jc w:val="left"/>
            </w:pPr>
            <w:r>
              <w:t xml:space="preserve">, 035</w:t>
            </w:r>
          </w:p>
        </w:tc>
        <w:tc>
          <w:tcPr/>
          <w:p>
            <w:pPr>
              <w:pStyle w:val="Compact"/>
              <w:jc w:val="left"/>
            </w:pPr>
            <w:r>
              <w:t xml:space="preserve">, 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 6%, LM p =, 002): DAI×ICRV = +0, 060*, ba chiều FSTS×DAI×ICRV = −0, 001 (NS), mgr_experience = +0, 009**, FSTS×mgr = −0, 019†, mgr_female = +0, 187***, female_owner = +0, 128**.</w:t>
      </w:r>
    </w:p>
    <w:p>
      <w:r>
        <w:pict>
          <v:rect style="width:0;height:1.5pt" o:hralign="center" o:hrstd="t" o:hr="t"/>
        </w:pict>
      </w:r>
    </w:p>
    <w:bookmarkEnd w:id="76"/>
    <w:bookmarkStart w:id="79"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 L) (VAKL, công thức giá trị gia tăng) và Y=f(K, L, 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77">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78">
        <w:r>
          <w:rPr>
            <w:rStyle w:val="Hyperlink"/>
            <w:iCs/>
            <w:i/>
          </w:rPr>
          <w:t xml:space="preserve">huongdt@vlute.edu.vn</w:t>
        </w:r>
      </w:hyperlink>
      <w:r>
        <w:rPr>
          <w:iCs/>
          <w:i/>
        </w:rPr>
        <w:t xml:space="preserve">, ORCID: 0000-0002-7711-2487</w:t>
      </w:r>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 Type="http://schemas.openxmlformats.org/officeDocument/2006/relationships/hyperlink" Id="rId78" Target="mailto:huongdt@vlute.edu.vn" TargetMode="External" /><Relationship Type="http://schemas.openxmlformats.org/officeDocument/2006/relationships/hyperlink" Id="rId77"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gsj.1028" TargetMode="External" /><Relationship Type="http://schemas.openxmlformats.org/officeDocument/2006/relationships/hyperlink" Id="rId60" Target="https://doi.org/10.1002/smj.2399" TargetMode="External" /><Relationship Type="http://schemas.openxmlformats.org/officeDocument/2006/relationships/hyperlink" Id="rId72" Target="https://doi.org/10.1002/smj.4250050207" TargetMode="External" /><Relationship Type="http://schemas.openxmlformats.org/officeDocument/2006/relationships/hyperlink" Id="rId58" Target="https://doi.org/10.1007/s10869-013-9308-7" TargetMode="External" /><Relationship Type="http://schemas.openxmlformats.org/officeDocument/2006/relationships/hyperlink" Id="rId53" Target="https://doi.org/10.1007/s11187-005-5599-z" TargetMode="External" /><Relationship Type="http://schemas.openxmlformats.org/officeDocument/2006/relationships/hyperlink" Id="rId52" Target="https://doi.org/10.1007/s11575-007-0019-z" TargetMode="External" /><Relationship Type="http://schemas.openxmlformats.org/officeDocument/2006/relationships/hyperlink" Id="rId71" Target="https://doi.org/10.1016/j.jbusres.2019.09.022" TargetMode="External" /><Relationship Type="http://schemas.openxmlformats.org/officeDocument/2006/relationships/hyperlink" Id="rId56" Target="https://doi.org/10.1016/j.jwb.2007.06.003" TargetMode="External" /><Relationship Type="http://schemas.openxmlformats.org/officeDocument/2006/relationships/hyperlink" Id="rId70" Target="https://doi.org/10.1016/j.jwb.2007.11.009" TargetMode="External" /><Relationship Type="http://schemas.openxmlformats.org/officeDocument/2006/relationships/hyperlink" Id="rId57" Target="https://doi.org/10.1016/j.jwb.2017.11.003" TargetMode="External" /><Relationship Type="http://schemas.openxmlformats.org/officeDocument/2006/relationships/hyperlink" Id="rId64" Target="https://doi.org/10.1057/jibs.2009.24" TargetMode="External" /><Relationship Type="http://schemas.openxmlformats.org/officeDocument/2006/relationships/hyperlink" Id="rId69" Target="https://doi.org/10.1057/jibs.2016.7" TargetMode="External" /><Relationship Type="http://schemas.openxmlformats.org/officeDocument/2006/relationships/hyperlink" Id="rId55" Target="https://doi.org/10.1057/palgrave.jibs.8400003" TargetMode="External" /><Relationship Type="http://schemas.openxmlformats.org/officeDocument/2006/relationships/hyperlink" Id="rId59" Target="https://doi.org/10.1057/palgrave.jibs.8490065" TargetMode="External" /><Relationship Type="http://schemas.openxmlformats.org/officeDocument/2006/relationships/hyperlink" Id="rId63" Target="https://doi.org/10.1057/palgrave.jibs.8490676" TargetMode="External" /><Relationship Type="http://schemas.openxmlformats.org/officeDocument/2006/relationships/hyperlink" Id="rId67" Target="https://doi.org/10.1080/00031305.2000.10474549" TargetMode="External" /><Relationship Type="http://schemas.openxmlformats.org/officeDocument/2006/relationships/hyperlink" Id="rId66" Target="https://doi.org/10.1111/j.1468-0084.2009.00569.x" TargetMode="External" /><Relationship Type="http://schemas.openxmlformats.org/officeDocument/2006/relationships/hyperlink" Id="rId51" Target="https://doi.org/10.1177/014920639101700108" TargetMode="External" /><Relationship Type="http://schemas.openxmlformats.org/officeDocument/2006/relationships/hyperlink" Id="rId68" Target="https://doi.org/10.2307/20159604" TargetMode="External" /><Relationship Type="http://schemas.openxmlformats.org/officeDocument/2006/relationships/hyperlink" Id="rId54" Target="https://doi.org/10.2307/2393553" TargetMode="External" /><Relationship Type="http://schemas.openxmlformats.org/officeDocument/2006/relationships/hyperlink" Id="rId62" Target="https://doi.org/10.5465/amr.1984.4277628" TargetMode="External" /><Relationship Type="http://schemas.openxmlformats.org/officeDocument/2006/relationships/hyperlink" Id="rId61" Target="https://doi.org/10.5465/amr.2007.24345254" TargetMode="External" /><Relationship Type="http://schemas.openxmlformats.org/officeDocument/2006/relationships/hyperlink" Id="rId73" Target="https://www.enterprisesurveys.org" TargetMode="External" /><Relationship Type="http://schemas.openxmlformats.org/officeDocument/2006/relationships/hyperlink" Id="rId74" Target="https://www.worldbank.org/ext/en/country/vietnam" TargetMode="External" /><Relationship Type="http://schemas.openxmlformats.org/officeDocument/2006/relationships/hyperlink" Id="rId78" Target="mailto:huongdt@vlute.edu.vn" TargetMode="External" /><Relationship Type="http://schemas.openxmlformats.org/officeDocument/2006/relationships/hyperlink" Id="rId77"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2026-06-08T00:14:27Z</dcterms:created>
  <dcterms:modified xsi:type="dcterms:W3CDTF">2026-06-08T00:14:27Z</dcterms:modified>
</cp:coreProperties>
</file>

<file path=docProps/custom.xml><?xml version="1.0" encoding="utf-8"?>
<Properties xmlns="http://schemas.openxmlformats.org/officeDocument/2006/custom-properties" xmlns:vt="http://schemas.openxmlformats.org/officeDocument/2006/docPropsVTypes"/>
</file>