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1.34,</w:t>
      </w:r>
      <w:r>
        <w:t xml:space="preserve"> </w:t>
      </w:r>
      <w:r>
        <w:rPr>
          <w:iCs/>
          <w:i/>
        </w:rPr>
        <w:t xml:space="preserve">p</w:t>
      </w:r>
      <w:r>
        <w:t xml:space="preserve"> </w:t>
      </w:r>
      <w:r>
        <w:t xml:space="preserve">= .513 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 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 positive but attenuated.</w:t>
      </w:r>
      <w:r>
        <w:t xml:space="preserve"> </w:t>
      </w:r>
      <w:r>
        <w:rPr>
          <w:bCs/>
          <w:b/>
        </w:rPr>
        <w:t xml:space="preserve">Originality/value:</w:t>
      </w:r>
      <w:r>
        <w:t xml:space="preserve"> </w:t>
      </w:r>
      <w:r>
        <w:t xml:space="preserve">This is the first three-level MARA of I→P extending the Asia-Pacific literature to</w:t>
      </w:r>
      <w:r>
        <w:t xml:space="preserve"> </w:t>
      </w:r>
      <w:r>
        <w:rPr>
          <w:iCs/>
          <w:i/>
        </w:rPr>
        <w:t xml:space="preserve">k</w:t>
      </w:r>
      <w:r>
        <w:t xml:space="preserve"> </w:t>
      </w:r>
      <w:r>
        <w:t xml:space="preserve">= 237 studies, and the first to formally test ICRV, cDAI, and DPL phase as moderators. The non-confirmation of the three moderator hypotheses under rigorous between-group testing — combined with evidence of substantial publication bias — reframes the heterogeneity puzzle: unexplained variance in I→P may reflect publication-side selection more than institutional or digital contingencies, calling for pre-registered replication with larger samples across all institutional regime categories.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for Asia-Pacific I→P; (5) first formal test of cDAI as a national-level digital-infrastructure moderator of I→P; (6) first test of DPL phase as a temporal moderator using three-level MARA. The non-confirmation of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in Asia-Pacific. However, the three hypothesized moderators — ICRV institutional regime, cDAI, and DPL phase — do not explain between-study heterogeneity under rigorous between-group testing. ICRV is statistically significant (</w:t>
      </w:r>
      <w:r>
        <w:rPr>
          <w:iCs/>
          <w:i/>
        </w:rPr>
        <w:t xml:space="preserve">Q</w:t>
      </w:r>
      <w:r>
        <w:t xml:space="preserve">_M = 17.35,</w:t>
      </w:r>
      <w:r>
        <w:t xml:space="preserve"> </w:t>
      </w:r>
      <w:r>
        <w:rPr>
          <w:iCs/>
          <w:i/>
        </w:rPr>
        <w:t xml:space="preserve">p</w:t>
      </w:r>
      <w:r>
        <w:t xml:space="preserve"> </w:t>
      </w:r>
      <w:r>
        <w:t xml:space="preserve">= .002) but the effect is driven by a Frontier-group anomaly (</w:t>
      </w:r>
      <w:r>
        <w:rPr>
          <w:iCs/>
          <w:i/>
        </w:rPr>
        <w:t xml:space="preserve">k</w:t>
      </w:r>
      <w:r>
        <w:t xml:space="preserve"> </w:t>
      </w:r>
      <w:r>
        <w:t xml:space="preserve">= 3) rather than the predicted gradient.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The most substantive finding is publication bias: trim-and-fill imputes</w:t>
      </w:r>
      <w:r>
        <w:t xml:space="preserve"> </w:t>
      </w:r>
      <w:r>
        <w:rPr>
          <w:iCs/>
          <w:i/>
        </w:rPr>
        <w:t xml:space="preserve">k</w:t>
      </w:r>
      <w:r>
        <w:t xml:space="preserve"> </w:t>
      </w:r>
      <w:r>
        <w:t xml:space="preserve">= 57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62.5%)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237, K = 287 effects, r̄ = 0.074, 95% CI [0.060, 0.088]). Dashed arrows represent hypothesised moderating relationships. Three study-level constructs were tested as moderators: (1) ICRV Regime (H1) — hypothesised Advanced &gt; Emerging &gt; Frontier gradient; actual Q_M = 17.35 (p = .002), gradient not confirmed as monotone. (2) cDAI — Country Digital Adoption Index (H3) — hypothesised positive amplification; actual Q_M = 1.34 (p = .513), not significant. (3) DPL Phase (H2) — Precede/Span/Follow; actual Q_M = 0.62 (p = .734), not significant. The three-level model nests K = 287 effects within k = 237 studies (σ²_within = 0.00878, I²_(2) = 54.1%) within between-study heterogeneity (σ²_between = 0.00136, I²_(3) = 8.4%); total I² = 62.5%. Publication bias (H4) is tested via Egger's regression, trim-and-fill, and Begg's rank correlation — trim-and-fill imputes k = 57 studies, adjusted r = 0.035.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 287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62.5%, indicating substantial heterogeneity beyond sampling error — the motivation for moderator analysis, though the moderator analyses in §§4.3–4.5 do not 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partially supported</w:t>
      </w:r>
      <w:r>
        <w:t xml:space="preserve"> </w:t>
      </w:r>
      <w:r>
        <w:t xml:space="preserve">— significant between-regime differences exist, but the pattern does not conform to the hypothesized monotone gradient; see below.</w:t>
      </w:r>
    </w:p>
    <w:p>
      <w:pPr>
        <w:pStyle w:val="BodyText"/>
      </w:pPr>
      <w:r>
        <w:rPr>
          <w:bCs/>
          <w:b/>
        </w:rPr>
        <w:t xml:space="preserve">Table 4.1 — ICRV regime subgroup results</w:t>
      </w:r>
      <w:r>
        <w:t xml:space="preserve"> </w:t>
      </w:r>
      <w:r>
        <w:rPr>
          <w:iCs/>
          <w:i/>
        </w:rPr>
        <w:t xml:space="preserve">(actual MARA output, 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(k=90, Emerging) shows</w:t>
      </w:r>
      <w:r>
        <w:t xml:space="preserve"> </w:t>
      </w:r>
      <w:r>
        <w:rPr>
          <w:iCs/>
          <w:i/>
        </w:rPr>
        <w:t xml:space="preserve">r̄</w:t>
      </w:r>
      <w:r>
        <w:t xml:space="preserve"> </w:t>
      </w:r>
      <w:r>
        <w:t xml:space="preserve">= 0.068 — a difference of 0.011 that is directionally consistent with CIMT but not statistically significant given within-group heterogeneity. H1's predicted monotone gradient is therefore</w:t>
      </w:r>
      <w:r>
        <w:t xml:space="preserve"> </w:t>
      </w:r>
      <w:r>
        <w:rPr>
          <w:bCs/>
          <w:b/>
        </w:rPr>
        <w:t xml:space="preserve">not confirmed</w:t>
      </w:r>
      <w:r>
        <w:t xml:space="preserve"> </w:t>
      </w:r>
      <w:r>
        <w:t xml:space="preserve">in the current</w:t>
      </w:r>
      <w:r>
        <w:t xml:space="preserve"> </w:t>
      </w:r>
      <w:r>
        <w:rPr>
          <w:iCs/>
          <w:i/>
        </w:rPr>
        <w:t xml:space="preserve">k</w:t>
      </w:r>
      <w:r>
        <w:t xml:space="preserve"> </w:t>
      </w:r>
      <w:r>
        <w:t xml:space="preserve">= 237 sample. The ICRV moderation as operationalized requires larger</w:t>
      </w:r>
      <w:r>
        <w:t xml:space="preserve"> </w:t>
      </w:r>
      <w:r>
        <w:rPr>
          <w:iCs/>
          <w:i/>
        </w:rPr>
        <w:t xml:space="preserve">k</w:t>
      </w:r>
      <w:r>
        <w:t xml:space="preserve"> </w:t>
      </w:r>
      <w:r>
        <w:t xml:space="preserve">per regime — particularly Frontier — before the gradient 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4.2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national digital adoption (Tier-1 proxy) does not significantly amplify the pooled I→P effect in this</w:t>
      </w:r>
      <w:r>
        <w:t xml:space="preserve"> </w:t>
      </w:r>
      <w:r>
        <w:rPr>
          <w:iCs/>
          <w:i/>
        </w:rPr>
        <w:t xml:space="preserve">k</w:t>
      </w:r>
      <w:r>
        <w:t xml:space="preserve"> </w:t>
      </w:r>
      <w:r>
        <w:t xml:space="preserve">= 237 sample. A larger sample with better resolution across 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237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.052) — marginal asymmetry; just above the conventional 0.05 threshold, indicating non-significant funnel asymmetry by this criterion.</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 adjusted pooled</w:t>
      </w:r>
      <w:r>
        <w:t xml:space="preserve"> </w:t>
      </w:r>
      <w:r>
        <w:rPr>
          <w:iCs/>
          <w:i/>
        </w:rPr>
        <w:t xml:space="preserve">r̄</w:t>
      </w:r>
      <w:r>
        <w:t xml:space="preserve"> </w:t>
      </w:r>
      <w:r>
        <w:t xml:space="preserve">= 0.035 (95% CI [0.018,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 criterion of 5</w:t>
      </w:r>
      <w:r>
        <w:rPr>
          <w:iCs/>
          <w:i/>
        </w:rPr>
        <w:t xml:space="preserve">k</w:t>
      </w:r>
      <w:r>
        <w:t xml:space="preserve"> </w:t>
      </w:r>
      <w:r>
        <w:t xml:space="preserve">+ 10 = 1,195; even under extreme publication suppression assumptions, a trivially small effect would require 44,782 unpublished null studies —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62.5%)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57). Substantial left-side asymmetry is visible; the 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is consistent with country-level evidence from across Asia-Pacific. The pooled effect is positive and significant, confirming that export-intensive firms tend to outperform domestically focused peers even after adjusting for firm size, age, and industry (Do &amp; Phan, 2024).</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 group shows</w:t>
      </w:r>
      <w:r>
        <w:t xml:space="preserve"> </w:t>
      </w:r>
      <w:r>
        <w:rPr>
          <w:iCs/>
          <w:i/>
        </w:rPr>
        <w:t xml:space="preserve">r̄</w:t>
      </w:r>
      <w:r>
        <w:t xml:space="preserve"> </w:t>
      </w:r>
      <w:r>
        <w:t xml:space="preserve">= 0.068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The ICRV between-regime test (</w:t>
      </w:r>
      <w:r>
        <w:rPr>
          <w:iCs/>
          <w:i/>
        </w:rPr>
        <w:t xml:space="preserve">Q</w:t>
      </w:r>
      <w:r>
        <w:t xml:space="preserve">_M = 17.35,</w:t>
      </w:r>
      <w:r>
        <w:t xml:space="preserve"> </w:t>
      </w:r>
      <w:r>
        <w:rPr>
          <w:iCs/>
          <w:i/>
        </w:rPr>
        <w:t xml:space="preserve">p</w:t>
      </w:r>
      <w:r>
        <w:t xml:space="preserve"> </w:t>
      </w:r>
      <w:r>
        <w:t xml:space="preserve">= .002) is statistically significant, but the significance is driven by the outlier Frontier contrast rather than a monotone institutional gradient. The substantiated finding is that the baseline I→P effect (</w:t>
      </w:r>
      <w:r>
        <w:rPr>
          <w:iCs/>
          <w:i/>
        </w:rPr>
        <w:t xml:space="preserve">r</w:t>
      </w:r>
      <w:r>
        <w:t xml:space="preserve"> </w:t>
      </w:r>
      <w:r>
        <w:t xml:space="preserve">= 0.074) is consistent across all well-populated regime groups (I, II, III, MX), and CIMT's predicted institutional gradient is not meta-analytically confirmed in the current</w:t>
      </w:r>
      <w:r>
        <w:t xml:space="preserve"> </w:t>
      </w:r>
      <w:r>
        <w:rPr>
          <w:iCs/>
          <w:i/>
        </w:rPr>
        <w:t xml:space="preserve">k</w:t>
      </w:r>
      <w:r>
        <w:t xml:space="preserve"> </w:t>
      </w:r>
      <w:r>
        <w:t xml:space="preserve">= 237 sample.</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Asia-Pacific I→P meta-analysis to date.</w:t>
      </w:r>
      <w:r>
        <w:t xml:space="preserve"> </w:t>
      </w:r>
      <w:r>
        <w:t xml:space="preserve">The three-level MARA with</w:t>
      </w:r>
      <w:r>
        <w:t xml:space="preserve"> </w:t>
      </w:r>
      <w:r>
        <w:rPr>
          <w:iCs/>
          <w:i/>
        </w:rPr>
        <w:t xml:space="preserve">k</w:t>
      </w:r>
      <w:r>
        <w:t xml:space="preserve"> </w:t>
      </w:r>
      <w:r>
        <w:t xml:space="preserve">= 237 studies (</w:t>
      </w:r>
      <w:r>
        <w:rPr>
          <w:iCs/>
          <w:i/>
        </w:rPr>
        <w:t xml:space="preserve">K</w:t>
      </w:r>
      <w:r>
        <w:t xml:space="preserve"> </w:t>
      </w:r>
      <w:r>
        <w:t xml:space="preserve">= 287 effects) is the most comprehensive quantitative synthesis of Asia-Pacific I→P evidence, extending the ICBEF 2025 baseline by 124 studies and applying three-level modeling that correctly partitions within-study and between-study variance. The baseline</w:t>
      </w:r>
      <w:r>
        <w:t xml:space="preserve"> </w:t>
      </w:r>
      <w:r>
        <w:rPr>
          <w:iCs/>
          <w:i/>
        </w:rPr>
        <w:t xml:space="preserve">r</w:t>
      </w:r>
      <w:r>
        <w:t xml:space="preserve"> </w:t>
      </w:r>
      <w:r>
        <w:t xml:space="preserve">= 0.074 replicates prior estimates and is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non-confirmation of all three hypotheses under rigorous between-group testing (</w:t>
      </w:r>
      <w:r>
        <w:rPr>
          <w:iCs/>
          <w:i/>
        </w:rPr>
        <w:t xml:space="preserve">Q</w:t>
      </w:r>
      <w:r>
        <w:t xml:space="preserve">_M = 17.35, 1.34, 0.62, all</w:t>
      </w:r>
      <w:r>
        <w:t xml:space="preserve"> </w:t>
      </w:r>
      <w:r>
        <w:rPr>
          <w:iCs/>
          <w:i/>
        </w:rPr>
        <w:t xml:space="preserve">p</w:t>
      </w:r>
      <w:r>
        <w:t xml:space="preserve"> </w:t>
      </w:r>
      <w:r>
        <w:t xml:space="preserve">≥ .002 or</w:t>
      </w:r>
      <w:r>
        <w:t xml:space="preserve"> </w:t>
      </w:r>
      <w:r>
        <w:rPr>
          <w:iCs/>
          <w:i/>
        </w:rPr>
        <w:t xml:space="preserve">p</w:t>
      </w:r>
      <w:r>
        <w:t xml:space="preserve"> </w:t>
      </w:r>
      <w:r>
        <w:t xml:space="preserve">&gt; .05) is itself theoretically informative: it implies that the</w:t>
      </w:r>
      <w:r>
        <w:t xml:space="preserve"> </w:t>
      </w:r>
      <w:r>
        <w:rPr>
          <w:iCs/>
          <w:i/>
        </w:rPr>
        <w:t xml:space="preserve">k</w:t>
      </w:r>
      <w:r>
        <w:t xml:space="preserve"> </w:t>
      </w:r>
      <w:r>
        <w:t xml:space="preserve">= 237 sample does not have sufficient between-regime</w:t>
      </w:r>
      <w:r>
        <w:t xml:space="preserve"> </w:t>
      </w:r>
      <w:r>
        <w:rPr>
          <w:iCs/>
          <w:i/>
        </w:rPr>
        <w:t xml:space="preserve">k</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in current database) to detect the CIMT gradient, and that cDAI and DPL phase do not explain between-study heterogeneity in the pre-formal-search working database. These null results set a bound: future formal-search replications with larger regime-level</w:t>
      </w:r>
      <w:r>
        <w:t xml:space="preserve"> </w:t>
      </w:r>
      <w:r>
        <w:rPr>
          <w:iCs/>
          <w:i/>
        </w:rPr>
        <w:t xml:space="preserve">k</w:t>
      </w:r>
      <w:r>
        <w:t xml:space="preserve"> </w:t>
      </w:r>
      <w:r>
        <w:t xml:space="preserve">should test whether the ICRV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 and significant Begg's τ (</w:t>
      </w:r>
      <w:r>
        <w:rPr>
          <w:iCs/>
          <w:i/>
        </w:rPr>
        <w:t xml:space="preserve">p</w:t>
      </w:r>
      <w:r>
        <w:t xml:space="preserve"> </w:t>
      </w:r>
      <w:r>
        <w:t xml:space="preserve">= .001)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largest I→P meta-analysis to date — is the most actionable theoretical contribution: it suggests that the IB literature's widely cited "positive I→P relationship" is partially an 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0.068,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in Asia-Pacific,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w:t>
      </w:r>
      <w:r>
        <w:rPr>
          <w:iCs/>
          <w:i/>
        </w:rPr>
        <w:t xml:space="preserve">K</w:t>
      </w:r>
      <w:r>
        <w:t xml:space="preserve"> </w:t>
      </w:r>
      <w:r>
        <w:t xml:space="preserve">= 287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62.5%) confirms a small but consistent positive I→P relationship in Asia-Pacific, robust across seven sensitivity checks.</w:t>
      </w:r>
    </w:p>
    <w:p>
      <w:pPr>
        <w:pStyle w:val="BodyText"/>
      </w:pPr>
      <w:r>
        <w:t xml:space="preserve">The three hypothesized moderators do not produce statistically significant between-group differences under rigorous testing: ICRV regime (</w:t>
      </w:r>
      <w:r>
        <w:rPr>
          <w:iCs/>
          <w:i/>
        </w:rPr>
        <w:t xml:space="preserve">Q</w:t>
      </w:r>
      <w:r>
        <w:t xml:space="preserve">_M = 17.35,</w:t>
      </w:r>
      <w:r>
        <w:t xml:space="preserve"> </w:t>
      </w:r>
      <w:r>
        <w:rPr>
          <w:iCs/>
          <w:i/>
        </w:rPr>
        <w:t xml:space="preserve">p</w:t>
      </w:r>
      <w:r>
        <w:t xml:space="preserve"> </w:t>
      </w:r>
      <w:r>
        <w:t xml:space="preserve">= .002, driven by</w:t>
      </w:r>
      <w:r>
        <w:t xml:space="preserve"> </w:t>
      </w:r>
      <w:r>
        <w:rPr>
          <w:iCs/>
          <w:i/>
        </w:rPr>
        <w:t xml:space="preserve">k</w:t>
      </w:r>
      <w:r>
        <w:t xml:space="preserve"> </w:t>
      </w:r>
      <w:r>
        <w:t xml:space="preserve">= 3 Frontier anomaly),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all fail to explain between-study heterogeneity in the current sample. The CIMT gradient (H1), digital infrastructure amplification (H3), and DPL temporal moderation (H2) remain theoretically motivated but empirically unconfirmed at</w:t>
      </w:r>
      <w:r>
        <w:t xml:space="preserve"> </w:t>
      </w:r>
      <w:r>
        <w:rPr>
          <w:iCs/>
          <w:i/>
        </w:rPr>
        <w:t xml:space="preserve">k</w:t>
      </w:r>
      <w:r>
        <w:t xml:space="preserve"> </w:t>
      </w:r>
      <w:r>
        <w:t xml:space="preserve">= 237 — a null result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57 missing studies, reducing the bias-corrected pooled effect to</w:t>
      </w:r>
      <w:r>
        <w:t xml:space="preserve"> </w:t>
      </w:r>
      <w:r>
        <w:rPr>
          <w:iCs/>
          <w:i/>
        </w:rPr>
        <w:t xml:space="preserve">r</w:t>
      </w:r>
      <w:r>
        <w:t xml:space="preserve"> </w:t>
      </w:r>
      <w:r>
        <w:t xml:space="preserve">= 0.035 (95% CI [0.018,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62.5%)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available WBES Tier-1 proxies, not country-year matched WDI digital indicators; measurement error in cDAI coding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w:t>
      </w:r>
      <w:r>
        <w:t xml:space="preserve"> </w:t>
      </w:r>
      <w:r>
        <w:rPr>
          <w:iCs/>
          <w:i/>
        </w:rPr>
        <w:t xml:space="preserve">k</w:t>
      </w:r>
      <w:r>
        <w:t xml:space="preserve"> </w:t>
      </w:r>
      <w:r>
        <w:t xml:space="preserve">= 237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2026-05-17T01:35:15Z</dcterms:created>
  <dcterms:modified xsi:type="dcterms:W3CDTF">2026-05-17T01:35:15Z</dcterms:modified>
</cp:coreProperties>
</file>

<file path=docProps/custom.xml><?xml version="1.0" encoding="utf-8"?>
<Properties xmlns="http://schemas.openxmlformats.org/officeDocument/2006/custom-properties" xmlns:vt="http://schemas.openxmlformats.org/officeDocument/2006/docPropsVTypes"/>
</file>