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237 studies with</w:t>
      </w:r>
      <w:r>
        <w:t xml:space="preserve"> </w:t>
      </w:r>
      <w:r>
        <w:rPr>
          <w:iCs/>
          <w:i/>
        </w:rPr>
        <w:t xml:space="preserve">K</w:t>
      </w:r>
      <w:r>
        <w:t xml:space="preserve"> </w:t>
      </w:r>
      <w:r>
        <w:t xml:space="preserve">= 287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 (within-study 54.1%; between-study 8.4%),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 0.35) rather than a monotone institutional gradient; cDAI and DPL phase moderation are not statistically significant (</w:t>
      </w:r>
      <w:r>
        <w:rPr>
          <w:iCs/>
          <w:i/>
        </w:rPr>
        <w:t xml:space="preserve">Q</w:t>
      </w:r>
      <w:r>
        <w:t xml:space="preserve">_M = 1.34,</w:t>
      </w:r>
      <w:r>
        <w:t xml:space="preserve"> </w:t>
      </w:r>
      <w:r>
        <w:rPr>
          <w:iCs/>
          <w:i/>
        </w:rPr>
        <w:t xml:space="preserve">p</w:t>
      </w:r>
      <w:r>
        <w:t xml:space="preserve"> </w:t>
      </w:r>
      <w:r>
        <w:t xml:space="preserve">= .513 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237 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 0.035 (95% CI [0.018, 0.051]) — positive but attenuated.</w:t>
      </w:r>
      <w:r>
        <w:t xml:space="preserve"> </w:t>
      </w:r>
      <w:r>
        <w:rPr>
          <w:bCs/>
          <w:b/>
        </w:rPr>
        <w:t xml:space="preserve">Originality/value:</w:t>
      </w:r>
      <w:r>
        <w:t xml:space="preserve"> </w:t>
      </w:r>
      <w:r>
        <w:t xml:space="preserve">This is the first three-level MARA of I→P extending the Asia-Pacific literature to</w:t>
      </w:r>
      <w:r>
        <w:t xml:space="preserve"> </w:t>
      </w:r>
      <w:r>
        <w:rPr>
          <w:iCs/>
          <w:i/>
        </w:rPr>
        <w:t xml:space="preserve">k</w:t>
      </w:r>
      <w:r>
        <w:t xml:space="preserve"> </w:t>
      </w:r>
      <w:r>
        <w:t xml:space="preserve">= 237 studies, and the first to formally test ICRV, cDAI, and DPL phase as moderators. The non-confirmation of the three moderator hypotheses under rigorous between-group testing — combined with evidence of substantial publication bias — reframes the heterogeneity puzzle: unexplained variance in I→P may reflect publication-side selection more than institutional or digital contingencies, calling for pre-registered replication with larger samples across all institutional regime categories.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Asia-Pacific</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Asia-Pacific region spans the widest institutional spectrum globally — from Singapore (World Governance Indicators Rule of Law score +1.84) to frontier economies (WGI &lt; −0.50; World Bank, 2023). An ICRV 5-regime classification tailored to this heterogeneity has not been tested meta-analytically.</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 framework for Asia-Pacific I→P; (5) first formal test of cDAI as a national-level digital-infrastructure moderator of I→P; (6) first test of DPL phase as a temporal moderator using three-level MARA. The non-confirmation of H2 and H3, and the anomalous ICRV Frontier pattern, are themselves informative findings that bound the conditions under which 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237,</w:t>
      </w:r>
      <w:r>
        <w:t xml:space="preserve"> </w:t>
      </w:r>
      <w:r>
        <w:rPr>
          <w:iCs/>
          <w:i/>
        </w:rPr>
        <w:t xml:space="preserve">K</w:t>
      </w:r>
      <w:r>
        <w:t xml:space="preserve"> </w:t>
      </w:r>
      <w:r>
        <w:t xml:space="preserve">= 287)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in Asia-Pacific. However, the three hypothesized moderators — ICRV institutional regime, cDAI, and DPL phase — do not explain between-study heterogeneity under rigorous between-group testing. ICRV is statistically significant (</w:t>
      </w:r>
      <w:r>
        <w:rPr>
          <w:iCs/>
          <w:i/>
        </w:rPr>
        <w:t xml:space="preserve">Q</w:t>
      </w:r>
      <w:r>
        <w:t xml:space="preserve">_M = 17.35,</w:t>
      </w:r>
      <w:r>
        <w:t xml:space="preserve"> </w:t>
      </w:r>
      <w:r>
        <w:rPr>
          <w:iCs/>
          <w:i/>
        </w:rPr>
        <w:t xml:space="preserve">p</w:t>
      </w:r>
      <w:r>
        <w:t xml:space="preserve"> </w:t>
      </w:r>
      <w:r>
        <w:t xml:space="preserve">= .002) but the effect is driven by a Frontier-group anomaly (</w:t>
      </w:r>
      <w:r>
        <w:rPr>
          <w:iCs/>
          <w:i/>
        </w:rPr>
        <w:t xml:space="preserve">k</w:t>
      </w:r>
      <w:r>
        <w:t xml:space="preserve"> </w:t>
      </w:r>
      <w:r>
        <w:t xml:space="preserve">= 3) rather than the predicted gradient. cDAI (</w:t>
      </w:r>
      <w:r>
        <w:rPr>
          <w:iCs/>
          <w:i/>
        </w:rPr>
        <w:t xml:space="preserve">Q</w:t>
      </w:r>
      <w:r>
        <w:t xml:space="preserve">_M = 1.34,</w:t>
      </w:r>
      <w:r>
        <w:t xml:space="preserve"> </w:t>
      </w:r>
      <w:r>
        <w:rPr>
          <w:iCs/>
          <w:i/>
        </w:rPr>
        <w:t xml:space="preserve">p</w:t>
      </w:r>
      <w:r>
        <w:t xml:space="preserve"> </w:t>
      </w:r>
      <w:r>
        <w:t xml:space="preserve">= .513) and DPL phase (</w:t>
      </w:r>
      <w:r>
        <w:rPr>
          <w:iCs/>
          <w:i/>
        </w:rPr>
        <w:t xml:space="preserve">Q</w:t>
      </w:r>
      <w:r>
        <w:t xml:space="preserve">_M = 0.62,</w:t>
      </w:r>
      <w:r>
        <w:t xml:space="preserve"> </w:t>
      </w:r>
      <w:r>
        <w:rPr>
          <w:iCs/>
          <w:i/>
        </w:rPr>
        <w:t xml:space="preserve">p</w:t>
      </w:r>
      <w:r>
        <w:t xml:space="preserve"> </w:t>
      </w:r>
      <w:r>
        <w:t xml:space="preserve">= .734) are non-significant. The most substantive finding is publication bias: trim-and-fill imputes</w:t>
      </w:r>
      <w:r>
        <w:t xml:space="preserve"> </w:t>
      </w:r>
      <w:r>
        <w:rPr>
          <w:iCs/>
          <w:i/>
        </w:rPr>
        <w:t xml:space="preserve">k</w:t>
      </w:r>
      <w:r>
        <w:t xml:space="preserve"> </w:t>
      </w:r>
      <w:r>
        <w:t xml:space="preserve">= 57 missing studies, reducing the adjusted estimate to</w:t>
      </w:r>
      <w:r>
        <w:t xml:space="preserve"> </w:t>
      </w:r>
      <w:r>
        <w:rPr>
          <w:iCs/>
          <w:i/>
        </w:rPr>
        <w:t xml:space="preserve">r</w:t>
      </w:r>
      <w:r>
        <w:t xml:space="preserve"> </w:t>
      </w:r>
      <w:r>
        <w:t xml:space="preserve">= 0.035 — positive but substantially smaller than the raw pooled effect. The heterogeneity puzzle (</w:t>
      </w:r>
      <w:r>
        <w:rPr>
          <w:iCs/>
          <w:i/>
        </w:rPr>
        <w:t xml:space="preserve">I</w:t>
      </w:r>
      <w:r>
        <w:t xml:space="preserve">² = 62.5%) remains unresolved by the tested moderators, suggesting that future research should test alternative theoretical contingencies or that between-study heterogeneity is predominantly within-paper (Level 2, 54.1%) rather than between-country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digital tools</w:t>
      </w:r>
      <w:r>
        <w:t xml:space="preserve"> </w:t>
      </w:r>
      <w:r>
        <w:rPr>
          <w:iCs/>
          <w:i/>
        </w:rPr>
        <w:t xml:space="preserve">compound</w:t>
      </w:r>
      <w:r>
        <w:t xml:space="preserve"> </w:t>
      </w:r>
      <w:r>
        <w:t xml:space="preserve">existing resource advantages: in high-cDAI environments, the combination of digital infrastructure and firm-level technological capability generates synergistic productivity returns that exceed what either component could produce in isolation. This resource-bundling prediction is the micro-foundation for the cDAI amplification hypothesis (H3): national digital infrastructure is not merely a background condition but an active complement to firm-level resources that raises the marginal return to each additional unit of international expansion.</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a clear monotonic gradient across the five ICRV regimes, which prior meta-analyses have not tested because they lacked an Asia-Pacific-specific taxonomy that disaggregates the institutional spectrum at sufficient resolution. Marano et al. (2016) used a six-category global classification that grouped Asia-Pacific economies in ways that obscured the Advanced/Emerging/Frontier gradient most relevant to the region. The ICRV 5-regime taxonomy — anchored in World Bank World Governance Indicators (Rule of Law dimension, 2023 vintage) and calibrated to the Asia-Pacific institutional spectrum — provides the first classification capable of testing the CIMT gradient meta-analytically.</w:t>
      </w:r>
    </w:p>
    <w:p>
      <w:pPr>
        <w:pStyle w:val="BodyText"/>
      </w:pPr>
      <w:r>
        <w:rPr>
          <w:bCs/>
          <w:b/>
        </w:rPr>
        <w:t xml:space="preserve">Hypothesis 1 (H1 — ICRV gradient):</w:t>
      </w:r>
      <w:r>
        <w:t xml:space="preserve"> </w:t>
      </w:r>
      <w:r>
        <w:t xml:space="preserve">When firms operate in higher-quality institutional environments (ICRV Regime I → V), the pooled I→P effect is expected to decrease monotonically, because formal institutions — contract enforcement, IP protection, and reduced liability of foreignness — amplify the productivity returns to each unit of international expansion through rent protection, LOF attenuation, and void-cost reduction (Khanna &amp; Palepu, 2010; North, 1990; Zaheer, 1995). This gradient is bounded by the assumption that institutional quality varies systematically across regimes rather than within them; studies spanning multiple regimes are therefore coded to the modal regime.</w:t>
      </w:r>
      <w:r>
        <w:t xml:space="preserve"> </w:t>
      </w:r>
      <w:r>
        <w:rPr>
          <w:iCs/>
          <w:i/>
        </w:rPr>
        <w:t xml:space="preserve">Q</w:t>
      </w:r>
      <w:r>
        <w:t xml:space="preserve">_M(ICRV) is expected to be statistically significant (</w:t>
      </w:r>
      <w:r>
        <w:rPr>
          <w:iCs/>
          <w:i/>
        </w:rPr>
        <w:t xml:space="preserve">p</w:t>
      </w:r>
      <w:r>
        <w:t xml:space="preserve"> </w:t>
      </w:r>
      <w:r>
        <w:t xml:space="preserve">&lt; .05).</w:t>
      </w:r>
    </w:p>
    <w:p>
      <w:pPr>
        <w:pStyle w:val="BodyText"/>
      </w:pPr>
      <w:r>
        <w:rPr>
          <w:bCs/>
          <w:b/>
        </w:rPr>
        <w:t xml:space="preserve">Hypothesis 1a:</w:t>
      </w:r>
      <w:r>
        <w:t xml:space="preserve"> </w:t>
      </w:r>
      <w:r>
        <w:t xml:space="preserve">Firms from Advanced-Innovation environments (ICRV-I: Singapore, Hong Kong, South Korea, Japan, Australia) show the largest pooled I→P effect (</w:t>
      </w:r>
      <w:r>
        <w:rPr>
          <w:iCs/>
          <w:i/>
        </w:rPr>
        <w:t xml:space="preserve">r̄</w:t>
      </w:r>
      <w:r>
        <w:t xml:space="preserve"> </w:t>
      </w:r>
      <w:r>
        <w:t xml:space="preserve">&gt; 0.15), reflecting simultaneous operation of all three CIMT mechanisms (rent protection, low LOF, negligible institutional voids).</w:t>
      </w:r>
    </w:p>
    <w:p>
      <w:pPr>
        <w:pStyle w:val="BodyText"/>
      </w:pPr>
      <w:r>
        <w:rPr>
          <w:bCs/>
          <w:b/>
        </w:rPr>
        <w:t xml:space="preserve">Hypothesis 1b:</w:t>
      </w:r>
      <w:r>
        <w:t xml:space="preserve"> </w:t>
      </w:r>
      <w:r>
        <w:t xml:space="preserve">Firms from Frontier and SIDS environments show I→P effects near zero or negative (</w:t>
      </w:r>
      <w:r>
        <w:rPr>
          <w:iCs/>
          <w:i/>
        </w:rPr>
        <w:t xml:space="preserve">r̄</w:t>
      </w:r>
      <w:r>
        <w:t xml:space="preserve"> </w:t>
      </w:r>
      <w:r>
        <w:t xml:space="preserve">&lt; 0.05), reflecting the dominance of institutional void amplification over scale and learning returns at the export intensities observed in these contexts.</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inflection for the Asia-Pacific digital adoption landscape rather than an arbitrary choice.</w:t>
      </w:r>
    </w:p>
    <w:p>
      <w:pPr>
        <w:pStyle w:val="BodyText"/>
      </w:pPr>
      <w:r>
        <w:rPr>
          <w:bCs/>
          <w:b/>
        </w:rPr>
        <w:t xml:space="preserve">Hypothesis 2 (H2 — DPL phase):</w:t>
      </w:r>
      <w:r>
        <w:t xml:space="preserve"> </w:t>
      </w:r>
      <w:r>
        <w:t xml:space="preserve">In the DPL Follow phase (predominantly post-2014), pooled I→P effects are expected to be largest, because digital platforms reach the maturity threshold at which coordination-cost compression outweighs the complementary-asset adjustment costs documented by Brynjolfsson et al. (2021) and David (1990). This ordering is bounded by the classification rule that studies must be assignable to a dominant data period; studies spanning multiple phases are coded as Span. Formally:</w:t>
      </w:r>
      <w:r>
        <w:t xml:space="preserve"> </w:t>
      </w:r>
      <w:r>
        <w:rPr>
          <w:iCs/>
          <w:i/>
        </w:rPr>
        <w:t xml:space="preserve">r̄</w:t>
      </w:r>
      <w:r>
        <w:t xml:space="preserve">(Follow) &gt;</w:t>
      </w:r>
      <w:r>
        <w:t xml:space="preserve"> </w:t>
      </w:r>
      <w:r>
        <w:rPr>
          <w:iCs/>
          <w:i/>
        </w:rPr>
        <w:t xml:space="preserve">r̄</w:t>
      </w:r>
      <w:r>
        <w:t xml:space="preserve">(Span) &gt;</w:t>
      </w:r>
      <w:r>
        <w:t xml:space="preserve"> </w:t>
      </w:r>
      <w:r>
        <w:rPr>
          <w:iCs/>
          <w:i/>
        </w:rPr>
        <w:t xml:space="preserve">r̄</w:t>
      </w:r>
      <w:r>
        <w:t xml:space="preserve">(Precede), with</w:t>
      </w:r>
      <w:r>
        <w:t xml:space="preserve"> </w:t>
      </w:r>
      <w:r>
        <w:rPr>
          <w:iCs/>
          <w:i/>
        </w:rPr>
        <w:t xml:space="preserve">Q</w:t>
      </w:r>
      <w:r>
        <w:t xml:space="preserve">_DPL significant (</w:t>
      </w:r>
      <w:r>
        <w:rPr>
          <w:iCs/>
          <w:i/>
        </w:rPr>
        <w:t xml:space="preserve">p</w:t>
      </w:r>
      <w:r>
        <w:t xml:space="preserve"> </w:t>
      </w:r>
      <w:r>
        <w:t xml:space="preserve">&lt; .05).</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When national digital adoption (cDAI) is higher, the pooled I→P effect is expected to be larger (β_cDAI &gt; 0,</w:t>
      </w:r>
      <w:r>
        <w:t xml:space="preserve"> </w:t>
      </w:r>
      <w:r>
        <w:rPr>
          <w:iCs/>
          <w:i/>
        </w:rPr>
        <w:t xml:space="preserve">p</w:t>
      </w:r>
      <w:r>
        <w:t xml:space="preserve"> </w:t>
      </w:r>
      <w:r>
        <w:t xml:space="preserve">&lt; .05), because mature national digital infrastructure reduces coordination costs for internationalizing firms through the coordination platform effect (Stallkamp &amp; Schotter, 2021). This amplification is bounded by DPL phase: the cDAI × DPL Follow interaction is expected to be significant and positive, while the cDAI effect in the Precede phase is expected to be near zero or non-significant, reflecting the temporal threshold below which digital infrastructure does not yet constitute a mature coordination platform.</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Significant funnel-plot asymmetry and trim-and-fill adjustment are expected, because selective reporting of positive I→P findings is well-documented in the literature; however, these are not expected to be severe enough to reverse the sign of the pooled effect. The boundary condition is that fail-safe N must be implausibly large (&gt; 2,000 studies) for the positive pooled effect to be attributed to bias alone (Orwin, 1983). Formally: Egger's regression intercept, trim-and-fill adjusted effect, and fail-safe N are not consistent with severe selective reporting (non-directional, inferential null: publication bias does not reverse the sign of the pooled effect).</w:t>
      </w:r>
    </w:p>
    <w:bookmarkEnd w:id="26"/>
    <w:bookmarkStart w:id="27" w:name="X9f459728ae2c4e39aee69d49761868d88bce138"/>
    <w:p>
      <w:pPr>
        <w:pStyle w:val="Heading3"/>
      </w:pPr>
      <w:r>
        <w:t xml:space="preserve">2.6 Conceptual Model</w:t>
      </w:r>
    </w:p>
    <w:p>
      <w:pPr>
        <w:pStyle w:val="FirstParagraph"/>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237, K = 287 effects, r̄ = 0.074, 95% CI [0.060, 0.088]). Dashed arrows represent hypothesised moderating relationships. Three study-level constructs were tested as moderators: (1) ICRV Regime (H1) — hypothesised Advanced &gt; Emerging &gt; Frontier gradient; actual Q_M = 17.35 (p = .002), gradient not confirmed as monotone. (2) cDAI — Country Digital Adoption Index (H3) — hypothesised positive amplification; actual Q_M = 1.34 (p = .513), not significant. (3) DPL Phase (H2) — Precede/Span/Follow; actual Q_M = 0.62 (p = .734), not significant. The three-level model nests K = 287 effects within k = 237 studies (σ²_within = 0.00878, I²_(2) = 54.1%) within between-study heterogeneity (σ²_between = 0.00136, I²_(3) = 8.4%); total I² = 62.5%. Publication bias (H4) is tested via Egger's regression, trim-and-fill, and Begg's rank correlation — trim-and-fill imputes k = 57 studies, adjusted r = 0.035. Abbreviations: ICRV = Innovation–Capability–Resource–Vulnerability; cDAI = country-level Digital Adoption Index; DPL = Digital Paradox Lifecycle; MARA = Meta-Analytic Regression Analysis.</w:t>
      </w:r>
    </w:p>
    <w:p>
      <w:r>
        <w:pict>
          <v:rect style="width:0;height:1.5pt" o:hralign="center" o:hrstd="t" o:hr="t"/>
        </w:pic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registered on OSF prior to database access. The registration identifier will be inserted at acceptance; the protocol document is available from the corresponding 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Asia-Pacific studies coded with ICRV regime identifier</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w:t>
      </w:r>
      <w:r>
        <w:t xml:space="preserve"> </w:t>
      </w:r>
      <w:r>
        <w:t xml:space="preserve">Records identified from electronic databases (WoS + Scopus): [</w:t>
      </w:r>
      <w:r>
        <w:rPr>
          <w:iCs/>
          <w:i/>
        </w:rPr>
        <w:t xml:space="preserve">n</w:t>
      </w:r>
      <w:r>
        <w:t xml:space="preserve"> </w:t>
      </w:r>
      <w:r>
        <w:t xml:space="preserve">= TBD] → After automated deduplication: [</w:t>
      </w:r>
      <w:r>
        <w:rPr>
          <w:iCs/>
          <w:i/>
        </w:rPr>
        <w:t xml:space="preserve">n</w:t>
      </w:r>
      <w:r>
        <w:t xml:space="preserve"> </w:t>
      </w:r>
      <w:r>
        <w:t xml:space="preserve">= TBD] → Title/abstract screen (two independent coders): [</w:t>
      </w:r>
      <w:r>
        <w:rPr>
          <w:iCs/>
          <w:i/>
        </w:rPr>
        <w:t xml:space="preserve">n</w:t>
      </w:r>
      <w:r>
        <w:t xml:space="preserve"> </w:t>
      </w:r>
      <w:r>
        <w:t xml:space="preserve">= TBD] retained → Full-text eligibility assessment: [</w:t>
      </w:r>
      <w:r>
        <w:rPr>
          <w:iCs/>
          <w:i/>
        </w:rPr>
        <w:t xml:space="preserve">n</w:t>
      </w:r>
      <w:r>
        <w:t xml:space="preserve"> </w:t>
      </w:r>
      <w:r>
        <w:t xml:space="preserve">= TBD] assessed → Effect size extractable and meeting all eligibility criteria: [</w:t>
      </w:r>
      <w:r>
        <w:rPr>
          <w:iCs/>
          <w:i/>
        </w:rPr>
        <w:t xml:space="preserve">k</w:t>
      </w:r>
      <w:r>
        <w:t xml:space="preserve"> </w:t>
      </w:r>
      <w:r>
        <w:t xml:space="preserve">= TBD studies;</w:t>
      </w:r>
      <w:r>
        <w:t xml:space="preserve"> </w:t>
      </w:r>
      <w:r>
        <w:rPr>
          <w:iCs/>
          <w:i/>
        </w:rPr>
        <w:t xml:space="preserve">K</w:t>
      </w:r>
      <w:r>
        <w:t xml:space="preserve"> </w:t>
      </w:r>
      <w:r>
        <w:t xml:space="preserve">= TBD effect sizes]. Detailed exclusion reasons at each screening stage are reported in Appendix A (PRISMA 2020 flow diagram). The current working database (</w:t>
      </w:r>
      <w:r>
        <w:rPr>
          <w:iCs/>
          <w:i/>
        </w:rPr>
        <w:t xml:space="preserve">k</w:t>
      </w:r>
      <w:r>
        <w:t xml:space="preserve"> </w:t>
      </w:r>
      <w:r>
        <w:t xml:space="preserve">= 237 coded studies;</w:t>
      </w:r>
      <w:r>
        <w:t xml:space="preserve"> </w:t>
      </w:r>
      <w:r>
        <w:rPr>
          <w:iCs/>
          <w:i/>
        </w:rPr>
        <w:t xml:space="preserve">K</w:t>
      </w:r>
      <w:r>
        <w:t xml:space="preserve"> </w:t>
      </w:r>
      <w:r>
        <w:t xml:space="preserve">= 287 effect sizes) was assembled from backward citation screening and hand-search prior to the formal database search; all counts will be updated to confirmed figures after the formal WoS/Scopus search is completed.</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[Author]),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37"/>
    <w:bookmarkStart w:id="38"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237 studies (coded),</w:t>
      </w:r>
      <w:r>
        <w:t xml:space="preserve"> </w:t>
      </w:r>
      <w:r>
        <w:rPr>
          <w:iCs/>
          <w:i/>
        </w:rPr>
        <w:t xml:space="preserve">K</w:t>
      </w:r>
      <w:r>
        <w:t xml:space="preserve"> </w:t>
      </w:r>
      <w:r>
        <w:t xml:space="preserve">= 287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287 effect sizes, k = 237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287</w:t>
            </w:r>
          </w:p>
        </w:tc>
        <w:tc>
          <w:tcPr/>
          <w:p>
            <w:pPr>
              <w:pStyle w:val="Compact"/>
              <w:jc w:val="left"/>
            </w:pPr>
            <w:r>
              <w:rPr>
                <w:bCs/>
                <w:b/>
              </w:rPr>
              <w:t xml:space="preserve">237</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K=287 rows, k=237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237 studies, K = 287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represents country-context differences that ICRV, cDAI, and DPL phase were designed to explain. Total</w:t>
      </w:r>
      <w:r>
        <w:t xml:space="preserve"> </w:t>
      </w:r>
      <w:r>
        <w:rPr>
          <w:iCs/>
          <w:i/>
        </w:rPr>
        <w:t xml:space="preserve">I</w:t>
      </w:r>
      <w:r>
        <w:t xml:space="preserve">² = 62.5%, indicating substantial heterogeneity beyond sampling error — the motivation for moderator analysis, though the moderator analyses in §§4.3–4.5 do not 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partially supported</w:t>
      </w:r>
      <w:r>
        <w:t xml:space="preserve"> </w:t>
      </w:r>
      <w:r>
        <w:t xml:space="preserve">— significant between-regime differences exist, but the pattern does not conform to the hypothesized monotone gradient; see below.</w:t>
      </w:r>
    </w:p>
    <w:p>
      <w:pPr>
        <w:pStyle w:val="BodyText"/>
      </w:pPr>
      <w:r>
        <w:rPr>
          <w:bCs/>
          <w:b/>
        </w:rPr>
        <w:t xml:space="preserve">Table 4.1 — ICRV regime subgroup results</w:t>
      </w:r>
      <w:r>
        <w:t xml:space="preserve"> </w:t>
      </w:r>
      <w:r>
        <w:rPr>
          <w:iCs/>
          <w:i/>
        </w:rPr>
        <w:t xml:space="preserve">(actual MARA output, k=237/K=287)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 between-group pattern does not confirm the hypothesized monotone gradient (I &gt; II &gt; III &gt; Frontier). Pairwise contrasts against Group I (intercept) reveal that Group II (</w:t>
      </w:r>
      <w:r>
        <w:rPr>
          <w:iCs/>
          <w:i/>
        </w:rPr>
        <w:t xml:space="preserve">p</w:t>
      </w:r>
      <w:r>
        <w:t xml:space="preserve"> </w:t>
      </w:r>
      <w:r>
        <w:t xml:space="preserve">= .581), Group III (</w:t>
      </w:r>
      <w:r>
        <w:rPr>
          <w:iCs/>
          <w:i/>
        </w:rPr>
        <w:t xml:space="preserve">p</w:t>
      </w:r>
      <w:r>
        <w:t xml:space="preserve"> </w:t>
      </w:r>
      <w:r>
        <w:t xml:space="preserve">= .502), and MX (</w:t>
      </w:r>
      <w:r>
        <w:rPr>
          <w:iCs/>
          <w:i/>
        </w:rPr>
        <w:t xml:space="preserve">p</w:t>
      </w:r>
      <w:r>
        <w:t xml:space="preserve"> </w:t>
      </w:r>
      <w:r>
        <w:t xml:space="preserve">= .269) do not differ significantly from Advanced-Innovation contexts. The only significant contrast is Group I vs. Frontier (b = +0.285,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 estimate, which is dominated by one outlier study (Pouresmaeili et al., 2018,</w:t>
      </w:r>
      <w:r>
        <w:t xml:space="preserve"> </w:t>
      </w:r>
      <w:r>
        <w:rPr>
          <w:iCs/>
          <w:i/>
        </w:rPr>
        <w:t xml:space="preserve">r</w:t>
      </w:r>
      <w:r>
        <w:t xml:space="preserve"> </w:t>
      </w:r>
      <w:r>
        <w:t xml:space="preserve">= 0.69). Excluding the Frontier group, no between-group differences approach significance.</w:t>
      </w:r>
    </w:p>
    <w:p>
      <w:pPr>
        <w:pStyle w:val="BodyText"/>
      </w:pPr>
      <w:r>
        <w:t xml:space="preserve">Group I (k=139, primarily Western MNEs and Asian advanced economies) shows the highest reliable I→P effect (</w:t>
      </w:r>
      <w:r>
        <w:rPr>
          <w:iCs/>
          <w:i/>
        </w:rPr>
        <w:t xml:space="preserve">r̄</w:t>
      </w:r>
      <w:r>
        <w:t xml:space="preserve"> </w:t>
      </w:r>
      <w:r>
        <w:t xml:space="preserve">= 0.079), and Group III (k=90, Emerging) shows</w:t>
      </w:r>
      <w:r>
        <w:t xml:space="preserve"> </w:t>
      </w:r>
      <w:r>
        <w:rPr>
          <w:iCs/>
          <w:i/>
        </w:rPr>
        <w:t xml:space="preserve">r̄</w:t>
      </w:r>
      <w:r>
        <w:t xml:space="preserve"> </w:t>
      </w:r>
      <w:r>
        <w:t xml:space="preserve">= 0.068 — a difference of 0.011 that is directionally consistent with CIMT but not statistically significant given within-group heterogeneity. H1's predicted monotone gradient is therefore</w:t>
      </w:r>
      <w:r>
        <w:t xml:space="preserve"> </w:t>
      </w:r>
      <w:r>
        <w:rPr>
          <w:bCs/>
          <w:b/>
        </w:rPr>
        <w:t xml:space="preserve">not confirmed</w:t>
      </w:r>
      <w:r>
        <w:t xml:space="preserve"> </w:t>
      </w:r>
      <w:r>
        <w:t xml:space="preserve">in the current</w:t>
      </w:r>
      <w:r>
        <w:t xml:space="preserve"> </w:t>
      </w:r>
      <w:r>
        <w:rPr>
          <w:iCs/>
          <w:i/>
        </w:rPr>
        <w:t xml:space="preserve">k</w:t>
      </w:r>
      <w:r>
        <w:t xml:space="preserve"> </w:t>
      </w:r>
      <w:r>
        <w:t xml:space="preserve">= 237 sample. The ICRV moderation as operationalized requires larger</w:t>
      </w:r>
      <w:r>
        <w:t xml:space="preserve"> </w:t>
      </w:r>
      <w:r>
        <w:rPr>
          <w:iCs/>
          <w:i/>
        </w:rPr>
        <w:t xml:space="preserve">k</w:t>
      </w:r>
      <w:r>
        <w:t xml:space="preserve"> </w:t>
      </w:r>
      <w:r>
        <w:t xml:space="preserve">per regime — particularly Frontier — before the gradient 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 0.010,</w:t>
      </w:r>
      <w:r>
        <w:t xml:space="preserve"> </w:t>
      </w:r>
      <w:r>
        <w:rPr>
          <w:iCs/>
          <w:i/>
        </w:rPr>
        <w:t xml:space="preserve">p</w:t>
      </w:r>
      <w:r>
        <w:t xml:space="preserve"> </w:t>
      </w:r>
      <w:r>
        <w:t xml:space="preserve">= .744). Neither the categorical between-group test nor the continuous linear trend shows significant cDAI moderation.</w:t>
      </w:r>
    </w:p>
    <w:p>
      <w:pPr>
        <w:pStyle w:val="BodyText"/>
      </w:pPr>
      <w:r>
        <w:rPr>
          <w:bCs/>
          <w:b/>
        </w:rPr>
        <w:t xml:space="preserve">Table 4.2 —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national digital adoption (Tier-1 proxy) does not significantly amplify the pooled I→P effect in this</w:t>
      </w:r>
      <w:r>
        <w:t xml:space="preserve"> </w:t>
      </w:r>
      <w:r>
        <w:rPr>
          <w:iCs/>
          <w:i/>
        </w:rPr>
        <w:t xml:space="preserve">k</w:t>
      </w:r>
      <w:r>
        <w:t xml:space="preserve"> </w:t>
      </w:r>
      <w:r>
        <w:t xml:space="preserve">= 237 sample. A larger sample with better resolution across the cDAI spectrum is required to test the CDCM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237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BodyText"/>
      </w:pPr>
      <w:r>
        <w:t xml:space="preserve">Figure 3: DPL phase moderation —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 0.251,</w:t>
      </w:r>
      <w:r>
        <w:t xml:space="preserve"> </w:t>
      </w:r>
      <w:r>
        <w:rPr>
          <w:iCs/>
          <w:i/>
        </w:rPr>
        <w:t xml:space="preserve">p</w:t>
      </w:r>
      <w:r>
        <w:t xml:space="preserve"> </w:t>
      </w:r>
      <w:r>
        <w:t xml:space="preserve">= .052) — marginal asymmetry; just above the conventional 0.05 threshold, indicating non-significant funnel asymmetry by this criterion.</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 —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 adjusted pooled</w:t>
      </w:r>
      <w:r>
        <w:t xml:space="preserve"> </w:t>
      </w:r>
      <w:r>
        <w:rPr>
          <w:iCs/>
          <w:i/>
        </w:rPr>
        <w:t xml:space="preserve">r̄</w:t>
      </w:r>
      <w:r>
        <w:t xml:space="preserve"> </w:t>
      </w:r>
      <w:r>
        <w:t xml:space="preserve">= 0.035 (95% CI [0.018, 0.051]) —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 criterion of 5</w:t>
      </w:r>
      <w:r>
        <w:rPr>
          <w:iCs/>
          <w:i/>
        </w:rPr>
        <w:t xml:space="preserve">k</w:t>
      </w:r>
      <w:r>
        <w:t xml:space="preserve"> </w:t>
      </w:r>
      <w:r>
        <w:t xml:space="preserve">+ 10 = 1,195; even under extreme publication suppression assumptions, a trivially small effect would require 44,782 unpublished null studies —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62.5%) and non-significant moderator tests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57). Substantial left-side asymmetry is visible; the 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287</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0/287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0.060) is the most conservative check and remains positive and significant, suggesting that DOI operationalization heterogeneity partially inflates the pooled effect when broader DOI measures are included.</w:t>
      </w:r>
    </w:p>
    <w:p>
      <w:pPr>
        <w:pStyle w:val="BodyText"/>
      </w:pPr>
      <w:r>
        <w:t xml:space="preserve">Figure 4: Leave-one-out sensitivity —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237) is consistent with country-level evidence from across Asia-Pacific. The pooled effect is positive and significant, confirming that export-intensive firms tend to outperform domestically focused peers even after adjusting for firm size, age, and industry (Do &amp; Phan, 2024).</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 mean (</w:t>
      </w:r>
      <w:r>
        <w:rPr>
          <w:iCs/>
          <w:i/>
        </w:rPr>
        <w:t xml:space="preserve">r̄</w:t>
      </w:r>
      <w:r>
        <w:t xml:space="preserve"> </w:t>
      </w:r>
      <w:r>
        <w:t xml:space="preserve">= 0.079) is the highest reliable estimate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However, the magnitude is much smaller than CIMT predicted, and the I→III difference is not statistically significant (</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 group shows</w:t>
      </w:r>
      <w:r>
        <w:t xml:space="preserve"> </w:t>
      </w:r>
      <w:r>
        <w:rPr>
          <w:iCs/>
          <w:i/>
        </w:rPr>
        <w:t xml:space="preserve">r̄</w:t>
      </w:r>
      <w:r>
        <w:t xml:space="preserve"> </w:t>
      </w:r>
      <w:r>
        <w:t xml:space="preserve">= 0.068 — directionally below the Advanced group, consistent with CIMT's institutional friction argument. At the primary-study level, Do &amp; Phan (2025) document a negative aggregate DOI coefficient on 380 Indian WBES firms (FGLS estimation), with manager experience and female top-management leadership as positive moderating factors — a pattern consistent with CIMT's prediction that firm-level compensating resources partially offset institutional friction in 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 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 interpreted as a reliable Frontier I→P effect; it instead reflects the near-impossibility of drawing meta-analytic conclusions when only three studies populate a regime cell. The actual Frontier I→P effect could be zero, positive, or negative —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The ICRV between-regime test (</w:t>
      </w:r>
      <w:r>
        <w:rPr>
          <w:iCs/>
          <w:i/>
        </w:rPr>
        <w:t xml:space="preserve">Q</w:t>
      </w:r>
      <w:r>
        <w:t xml:space="preserve">_M = 17.35,</w:t>
      </w:r>
      <w:r>
        <w:t xml:space="preserve"> </w:t>
      </w:r>
      <w:r>
        <w:rPr>
          <w:iCs/>
          <w:i/>
        </w:rPr>
        <w:t xml:space="preserve">p</w:t>
      </w:r>
      <w:r>
        <w:t xml:space="preserve"> </w:t>
      </w:r>
      <w:r>
        <w:t xml:space="preserve">= .002) is statistically significant, but the significance is driven by the outlier Frontier contrast rather than a monotone institutional gradient. The substantiated finding is that the baseline I→P effect (</w:t>
      </w:r>
      <w:r>
        <w:rPr>
          <w:iCs/>
          <w:i/>
        </w:rPr>
        <w:t xml:space="preserve">r</w:t>
      </w:r>
      <w:r>
        <w:t xml:space="preserve"> </w:t>
      </w:r>
      <w:r>
        <w:t xml:space="preserve">= 0.074) is consistent across all well-populated regime groups (I, II, III, MX), and CIMT's predicted institutional gradient is not meta-analytically confirmed in the current</w:t>
      </w:r>
      <w:r>
        <w:t xml:space="preserve"> </w:t>
      </w:r>
      <w:r>
        <w:rPr>
          <w:iCs/>
          <w:i/>
        </w:rPr>
        <w:t xml:space="preserve">k</w:t>
      </w:r>
      <w:r>
        <w:t xml:space="preserve"> </w:t>
      </w:r>
      <w:r>
        <w:t xml:space="preserve">= 237 sample.</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Asia-Pacific I→P meta-analysis to date.</w:t>
      </w:r>
      <w:r>
        <w:t xml:space="preserve"> </w:t>
      </w:r>
      <w:r>
        <w:t xml:space="preserve">The three-level MARA with</w:t>
      </w:r>
      <w:r>
        <w:t xml:space="preserve"> </w:t>
      </w:r>
      <w:r>
        <w:rPr>
          <w:iCs/>
          <w:i/>
        </w:rPr>
        <w:t xml:space="preserve">k</w:t>
      </w:r>
      <w:r>
        <w:t xml:space="preserve"> </w:t>
      </w:r>
      <w:r>
        <w:t xml:space="preserve">= 237 studies (</w:t>
      </w:r>
      <w:r>
        <w:rPr>
          <w:iCs/>
          <w:i/>
        </w:rPr>
        <w:t xml:space="preserve">K</w:t>
      </w:r>
      <w:r>
        <w:t xml:space="preserve"> </w:t>
      </w:r>
      <w:r>
        <w:t xml:space="preserve">= 287 effects) is the most comprehensive quantitative synthesis of Asia-Pacific I→P evidence, extending the ICBEF 2025 baseline by 124 studies and applying three-level modeling that correctly partitions within-study and between-study variance. The baseline</w:t>
      </w:r>
      <w:r>
        <w:t xml:space="preserve"> </w:t>
      </w:r>
      <w:r>
        <w:rPr>
          <w:iCs/>
          <w:i/>
        </w:rPr>
        <w:t xml:space="preserve">r</w:t>
      </w:r>
      <w:r>
        <w:t xml:space="preserve"> </w:t>
      </w:r>
      <w:r>
        <w:t xml:space="preserve">= 0.074 replicates prior estimates and is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The non-confirmation of all three hypotheses under rigorous between-group testing (</w:t>
      </w:r>
      <w:r>
        <w:rPr>
          <w:iCs/>
          <w:i/>
        </w:rPr>
        <w:t xml:space="preserve">Q</w:t>
      </w:r>
      <w:r>
        <w:t xml:space="preserve">_M = 17.35, 1.34, 0.62, all</w:t>
      </w:r>
      <w:r>
        <w:t xml:space="preserve"> </w:t>
      </w:r>
      <w:r>
        <w:rPr>
          <w:iCs/>
          <w:i/>
        </w:rPr>
        <w:t xml:space="preserve">p</w:t>
      </w:r>
      <w:r>
        <w:t xml:space="preserve"> </w:t>
      </w:r>
      <w:r>
        <w:t xml:space="preserve">≥ .002 or</w:t>
      </w:r>
      <w:r>
        <w:t xml:space="preserve"> </w:t>
      </w:r>
      <w:r>
        <w:rPr>
          <w:iCs/>
          <w:i/>
        </w:rPr>
        <w:t xml:space="preserve">p</w:t>
      </w:r>
      <w:r>
        <w:t xml:space="preserve"> </w:t>
      </w:r>
      <w:r>
        <w:t xml:space="preserve">&gt; .05) is itself theoretically informative: it implies that the</w:t>
      </w:r>
      <w:r>
        <w:t xml:space="preserve"> </w:t>
      </w:r>
      <w:r>
        <w:rPr>
          <w:iCs/>
          <w:i/>
        </w:rPr>
        <w:t xml:space="preserve">k</w:t>
      </w:r>
      <w:r>
        <w:t xml:space="preserve"> </w:t>
      </w:r>
      <w:r>
        <w:t xml:space="preserve">= 237 sample does not have sufficient between-regime</w:t>
      </w:r>
      <w:r>
        <w:t xml:space="preserve"> </w:t>
      </w:r>
      <w:r>
        <w:rPr>
          <w:iCs/>
          <w:i/>
        </w:rPr>
        <w:t xml:space="preserve">k</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in current database) to detect the CIMT gradient, and that cDAI and DPL phase do not explain between-study heterogeneity in the pre-formal-search working database. These null results set a bound: future formal-search replications with larger regime-level</w:t>
      </w:r>
      <w:r>
        <w:t xml:space="preserve"> </w:t>
      </w:r>
      <w:r>
        <w:rPr>
          <w:iCs/>
          <w:i/>
        </w:rPr>
        <w:t xml:space="preserve">k</w:t>
      </w:r>
      <w:r>
        <w:t xml:space="preserve"> </w:t>
      </w:r>
      <w:r>
        <w:t xml:space="preserve">should test whether the ICRV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 and significant Begg's τ (</w:t>
      </w:r>
      <w:r>
        <w:rPr>
          <w:iCs/>
          <w:i/>
        </w:rPr>
        <w:t xml:space="preserve">p</w:t>
      </w:r>
      <w:r>
        <w:t xml:space="preserve"> </w:t>
      </w:r>
      <w:r>
        <w:t xml:space="preserve">= .001)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 from the largest I→P meta-analysis to date — is the most actionable theoretical contribution: it suggests that the IB literature's widely cited "positive I→P relationship" is partially an 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 the published literature systematically over-reports positive effects.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 adj.</w:t>
      </w:r>
      <w:r>
        <w:t xml:space="preserve"> </w:t>
      </w:r>
      <w:r>
        <w:rPr>
          <w:iCs/>
          <w:i/>
        </w:rPr>
        <w:t xml:space="preserve">r</w:t>
      </w:r>
      <w:r>
        <w:t xml:space="preserve"> </w:t>
      </w:r>
      <w:r>
        <w:t xml:space="preserve">= 0.035) is a call for pre-registered studies with explicit null-hypothesis reporting. Publication practices in the I→P literature — where positive effects are over-represented —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0.068,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 internationalization–performance relationship in Asia-Pacific, extending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w:t>
      </w:r>
      <w:r>
        <w:rPr>
          <w:iCs/>
          <w:i/>
        </w:rPr>
        <w:t xml:space="preserve">K</w:t>
      </w:r>
      <w:r>
        <w:t xml:space="preserve"> </w:t>
      </w:r>
      <w:r>
        <w:t xml:space="preserve">= 287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62.5%) confirms a small but consistent positive I→P relationship in Asia-Pacific, robust across seven sensitivity checks.</w:t>
      </w:r>
    </w:p>
    <w:p>
      <w:pPr>
        <w:pStyle w:val="BodyText"/>
      </w:pPr>
      <w:r>
        <w:t xml:space="preserve">The three hypothesized moderators do not produce statistically significant between-group differences under rigorous testing: ICRV regime (</w:t>
      </w:r>
      <w:r>
        <w:rPr>
          <w:iCs/>
          <w:i/>
        </w:rPr>
        <w:t xml:space="preserve">Q</w:t>
      </w:r>
      <w:r>
        <w:t xml:space="preserve">_M = 17.35,</w:t>
      </w:r>
      <w:r>
        <w:t xml:space="preserve"> </w:t>
      </w:r>
      <w:r>
        <w:rPr>
          <w:iCs/>
          <w:i/>
        </w:rPr>
        <w:t xml:space="preserve">p</w:t>
      </w:r>
      <w:r>
        <w:t xml:space="preserve"> </w:t>
      </w:r>
      <w:r>
        <w:t xml:space="preserve">= .002, driven by</w:t>
      </w:r>
      <w:r>
        <w:t xml:space="preserve"> </w:t>
      </w:r>
      <w:r>
        <w:rPr>
          <w:iCs/>
          <w:i/>
        </w:rPr>
        <w:t xml:space="preserve">k</w:t>
      </w:r>
      <w:r>
        <w:t xml:space="preserve"> </w:t>
      </w:r>
      <w:r>
        <w:t xml:space="preserve">= 3 Frontier anomaly), cDAI (</w:t>
      </w:r>
      <w:r>
        <w:rPr>
          <w:iCs/>
          <w:i/>
        </w:rPr>
        <w:t xml:space="preserve">Q</w:t>
      </w:r>
      <w:r>
        <w:t xml:space="preserve">_M = 1.34,</w:t>
      </w:r>
      <w:r>
        <w:t xml:space="preserve"> </w:t>
      </w:r>
      <w:r>
        <w:rPr>
          <w:iCs/>
          <w:i/>
        </w:rPr>
        <w:t xml:space="preserve">p</w:t>
      </w:r>
      <w:r>
        <w:t xml:space="preserve"> </w:t>
      </w:r>
      <w:r>
        <w:t xml:space="preserve">= .513), and DPL phase (</w:t>
      </w:r>
      <w:r>
        <w:rPr>
          <w:iCs/>
          <w:i/>
        </w:rPr>
        <w:t xml:space="preserve">Q</w:t>
      </w:r>
      <w:r>
        <w:t xml:space="preserve">_M = 0.62,</w:t>
      </w:r>
      <w:r>
        <w:t xml:space="preserve"> </w:t>
      </w:r>
      <w:r>
        <w:rPr>
          <w:iCs/>
          <w:i/>
        </w:rPr>
        <w:t xml:space="preserve">p</w:t>
      </w:r>
      <w:r>
        <w:t xml:space="preserve"> </w:t>
      </w:r>
      <w:r>
        <w:t xml:space="preserve">= .734) all fail to explain between-study heterogeneity in the current sample. The CIMT gradient (H1), digital infrastructure amplification (H3), and DPL temporal moderation (H2) remain theoretically motivated but empirically unconfirmed at</w:t>
      </w:r>
      <w:r>
        <w:t xml:space="preserve"> </w:t>
      </w:r>
      <w:r>
        <w:rPr>
          <w:iCs/>
          <w:i/>
        </w:rPr>
        <w:t xml:space="preserve">k</w:t>
      </w:r>
      <w:r>
        <w:t xml:space="preserve"> </w:t>
      </w:r>
      <w:r>
        <w:t xml:space="preserve">= 237 — a null result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57 missing studies, reducing the bias-corrected pooled effect to</w:t>
      </w:r>
      <w:r>
        <w:t xml:space="preserve"> </w:t>
      </w:r>
      <w:r>
        <w:rPr>
          <w:iCs/>
          <w:i/>
        </w:rPr>
        <w:t xml:space="preserve">r</w:t>
      </w:r>
      <w:r>
        <w:t xml:space="preserve"> </w:t>
      </w:r>
      <w:r>
        <w:t xml:space="preserve">= 0.035 (95% CI [0.018, 0.051]) —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62.5%) remains largely unresolved, with within-study variance (Level 2, 54.1%) dominating between-study variance (Level 3, 8.4%), suggesting that DOI operationalization and performance measure choices within papers are more important sources of heterogeneity than cross-country institutional differences.</w:t>
      </w:r>
    </w:p>
    <w:p>
      <w:pPr>
        <w:pStyle w:val="BodyText"/>
      </w:pPr>
      <w:r>
        <w:rPr>
          <w:bCs/>
          <w:b/>
        </w:rPr>
        <w:t xml:space="preserve">Limitations.</w:t>
      </w:r>
      <w:r>
        <w:t xml:space="preserve"> </w:t>
      </w:r>
      <w:r>
        <w:t xml:space="preserve">Five inferential constraints bound these conclusions. First, the three moderator hypotheses are not confirmed in the current</w:t>
      </w:r>
      <w:r>
        <w:t xml:space="preserve"> </w:t>
      </w:r>
      <w:r>
        <w:rPr>
          <w:iCs/>
          <w:i/>
        </w:rPr>
        <w:t xml:space="preserve">k</w:t>
      </w:r>
      <w:r>
        <w:t xml:space="preserve"> </w:t>
      </w:r>
      <w:r>
        <w:t xml:space="preserve">= 237 working database;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 A formal WoS/Scopus search targeting Frontier and SIDS contexts is required before the ICRV null result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 Pouresmaeili et al. 2018) is the sole driver of ICRV significance; future work should reassess this coding and search for additional Frontier-regime studies. Third, cDAI is measured at the study level using available WBES Tier-1 proxies, not country-year matched WDI digital indicators; measurement error in cDAI coding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 with explicit power analysis for each regime cell and OSF pre-registration —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53"/>
    <w:bookmarkStart w:id="5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56"/>
    <w:bookmarkStart w:id="60"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57">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58">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9">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60"/>
    <w:bookmarkStart w:id="61" w:name="appendix-a--prisma-2020-flow-diagram"/>
    <w:p>
      <w:pPr>
        <w:pStyle w:val="Heading2"/>
      </w:pPr>
      <w:r>
        <w:t xml:space="preserve">Appendix A — PRISMA 2020 Flow Diagram</w:t>
      </w:r>
    </w:p>
    <w:p>
      <w:pPr>
        <w:pStyle w:val="BlockText"/>
      </w:pPr>
      <w:r>
        <w:rPr>
          <w:bCs/>
          <w:b/>
        </w:rPr>
        <w:t xml:space="preserve">⚠️ All counts marked [TBD] will be confirmed after formal WoS + Scopus search.</w:t>
      </w:r>
      <w:r>
        <w:t xml:space="preserve"> </w:t>
      </w:r>
      <w:r>
        <w:t xml:space="preserve">The diagram below follows PRISMA 2020 (Page et al., 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[TBD]</w:t>
      </w:r>
      <w:r>
        <w:br/>
      </w:r>
      <w:r>
        <w:rPr>
          <w:rStyle w:val="VerbatimChar"/>
        </w:rPr>
        <w:t xml:space="preserve">Effect sizes coded: K = [TBD]</w:t>
      </w:r>
      <w:r>
        <w:br/>
      </w:r>
      <w:r>
        <w:rPr>
          <w:rStyle w:val="VerbatimChar"/>
        </w:rPr>
        <w:t xml:space="preserve">  (Current working database prior to formal search: k = 237, K = 287)</w:t>
      </w:r>
    </w:p>
    <w:p>
      <w:pPr>
        <w:pStyle w:val="FirstParagraph"/>
      </w:pPr>
      <w:r>
        <w:rPr>
          <w:iCs/>
          <w:i/>
        </w:rPr>
        <w:t xml:space="preserve">The PRISMA checklist (Page et al., 2021) is available from the corresponding author.</w:t>
      </w:r>
    </w:p>
    <w:p>
      <w:r>
        <w:pict>
          <v:rect style="width:0;height:1.5pt" o:hralign="center" o:hrstd="t" o:hr="t"/>
        </w:pict>
      </w:r>
    </w:p>
    <w:bookmarkEnd w:id="61"/>
    <w:bookmarkStart w:id="62"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62"/>
    <w:bookmarkStart w:id="63"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k=237)</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237</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287</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 reflects the expanded</w:t>
      </w:r>
      <w:r>
        <w:t xml:space="preserve"> </w:t>
      </w:r>
      <w:r>
        <w:rPr>
          <w:iCs/>
          <w:i/>
        </w:rPr>
        <w:t xml:space="preserve">k</w:t>
      </w:r>
      <w:r>
        <w:t xml:space="preserve"> </w:t>
      </w:r>
      <w:r>
        <w:t xml:space="preserve">= 237 sample and the three-level structure that partitions variance across levels correctly. The narrower 95% CI reflects the precision gain from 237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p>
    <w:bookmarkEnd w:id="63"/>
    <w:bookmarkEnd w:id="6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8" Target="https://doi.org/10.1136/bmj.n71" TargetMode="External" /><Relationship Type="http://schemas.openxmlformats.org/officeDocument/2006/relationships/hyperlink" Id="rId57" Target="https://doi.org/10.5772/intechopen.1011012" TargetMode="External" /><Relationship Type="http://schemas.openxmlformats.org/officeDocument/2006/relationships/hyperlink" Id="rId59"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136/bmj.n71" TargetMode="External" /><Relationship Type="http://schemas.openxmlformats.org/officeDocument/2006/relationships/hyperlink" Id="rId57" Target="https://doi.org/10.5772/intechopen.1011012" TargetMode="External" /><Relationship Type="http://schemas.openxmlformats.org/officeDocument/2006/relationships/hyperlink" Id="rId59"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2026-05-17T01:35:14Z</dcterms:created>
  <dcterms:modified xsi:type="dcterms:W3CDTF">2026-05-17T01:35:14Z</dcterms:modified>
</cp:coreProperties>
</file>

<file path=docProps/custom.xml><?xml version="1.0" encoding="utf-8"?>
<Properties xmlns="http://schemas.openxmlformats.org/officeDocument/2006/custom-properties" xmlns:vt="http://schemas.openxmlformats.org/officeDocument/2006/docPropsVTypes"/>
</file>