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079c603d9509b4702202cbb75916385d831f3a"/>
    <w:p>
      <w:pPr>
        <w:pStyle w:val="Heading1"/>
      </w:pPr>
      <w:r>
        <w:t xml:space="preserve">Cumulative Argument Summary — Dissertation Portfolio</w:t>
      </w:r>
    </w:p>
    <w:p>
      <w:pPr>
        <w:pStyle w:val="FirstParagraph"/>
      </w:pPr>
      <w:r>
        <w:rPr>
          <w:bCs/>
          <w:b/>
        </w:rPr>
        <w:t xml:space="preserve">Author:</w:t>
      </w:r>
      <w:r>
        <w:t xml:space="preserve"> </w:t>
      </w:r>
      <w:r>
        <w:t xml:space="preserve">Đỗ Thị Thúy Hương (Do Thi Thuy Huong)</w:t>
      </w:r>
      <w:r>
        <w:t xml:space="preserve"> </w:t>
      </w:r>
      <w:r>
        <w:rPr>
          <w:bCs/>
          <w:b/>
        </w:rPr>
        <w:t xml:space="preserve">Supervisor:</w:t>
      </w:r>
      <w:r>
        <w:t xml:space="preserve"> </w:t>
      </w:r>
      <w:r>
        <w:t xml:space="preserve">PGS.TS. Phan Anh Tú</w:t>
      </w:r>
      <w:r>
        <w:t xml:space="preserve"> </w:t>
      </w:r>
      <w:r>
        <w:rPr>
          <w:bCs/>
          <w:b/>
        </w:rPr>
        <w:t xml:space="preserve">Institution:</w:t>
      </w:r>
      <w:r>
        <w:t xml:space="preserve"> </w:t>
      </w:r>
      <w:r>
        <w:t xml:space="preserve">Can Tho University (CTU), Vietnam</w:t>
      </w:r>
      <w:r>
        <w:t xml:space="preserve"> </w:t>
      </w:r>
      <w:r>
        <w:rPr>
          <w:bCs/>
          <w:b/>
        </w:rPr>
        <w:t xml:space="preserve">Defense window:</w:t>
      </w:r>
      <w:r>
        <w:t xml:space="preserve"> </w:t>
      </w:r>
      <w:r>
        <w:t xml:space="preserve">Q3-Q4 2026</w:t>
      </w:r>
      <w:r>
        <w:t xml:space="preserve"> </w:t>
      </w:r>
      <w:r>
        <w:rPr>
          <w:bCs/>
          <w:b/>
        </w:rPr>
        <w:t xml:space="preserve">Document purpose:</w:t>
      </w:r>
      <w:r>
        <w:t xml:space="preserve"> </w:t>
      </w:r>
      <w:r>
        <w:t xml:space="preserve">Single-page summary of how the eight component papers (P1-P8) combine to deliver a cumulative theoretical contribution that no individual paper could deliver alone. Designed for defense-committee briefing and for the introductory chapter’s</w:t>
      </w:r>
      <w:r>
        <w:t xml:space="preserve"> </w:t>
      </w:r>
      <w:r>
        <w:t xml:space="preserve">“</w:t>
      </w:r>
      <w:r>
        <w:t xml:space="preserve">Cumulative Contribution</w:t>
      </w:r>
      <w:r>
        <w:t xml:space="preserve">”</w:t>
      </w:r>
      <w:r>
        <w:t xml:space="preserve"> </w:t>
      </w:r>
      <w:r>
        <w:t xml:space="preserve">section.</w:t>
      </w:r>
    </w:p>
    <w:p>
      <w:r>
        <w:pict>
          <v:rect style="width:0;height:1.5pt" o:hralign="center" o:hrstd="t" o:hr="t"/>
        </w:pict>
      </w:r>
    </w:p>
    <w:bookmarkStart w:id="20" w:name="the-unifying-research-question"/>
    <w:p>
      <w:pPr>
        <w:pStyle w:val="Heading2"/>
      </w:pPr>
      <w:r>
        <w:t xml:space="preserve">1. The unifying research question</w:t>
      </w:r>
    </w:p>
    <w:p>
      <w:pPr>
        <w:pStyle w:val="BlockText"/>
      </w:pPr>
      <w:r>
        <w:rPr>
          <w:iCs/>
          <w:i/>
        </w:rPr>
        <w:t xml:space="preserve">Under what institutional, capability, and digital conditions does internationalization improve, fail to improve, or actively harm firm performance — and does the answer travel across the institutional spectrum of Asia and the Pacific?</w:t>
      </w:r>
    </w:p>
    <w:p>
      <w:pPr>
        <w:pStyle w:val="FirstParagraph"/>
      </w:pPr>
      <w:r>
        <w:t xml:space="preserve">The standard inverted-U answer (Lu &amp; Beamish, 2004; Hitt et al., 1997; Contractor et al., 2003) treats internationalization as universally productivity-enhancing up to a turning point. The cumulative evidence below shows the answer is</w:t>
      </w:r>
      <w:r>
        <w:t xml:space="preserve"> </w:t>
      </w:r>
      <w:r>
        <w:rPr>
          <w:bCs/>
          <w:b/>
        </w:rPr>
        <w:t xml:space="preserve">conditional in three independent dimensions</w:t>
      </w:r>
      <w:r>
        <w:t xml:space="preserve"> </w:t>
      </w:r>
      <w:r>
        <w:t xml:space="preserve">that single-paper designs cannot disentangle: institutional regime (ICRV), firm-level capability composition (TCI vs DAI), and the depth of available digital infrastructure (Tier-1 vs Tier-1+2 vs Tier-2).</w:t>
      </w:r>
    </w:p>
    <w:p>
      <w:r>
        <w:pict>
          <v:rect style="width:0;height:1.5pt" o:hralign="center" o:hrstd="t" o:hr="t"/>
        </w:pict>
      </w:r>
    </w:p>
    <w:bookmarkEnd w:id="20"/>
    <w:bookmarkStart w:id="21" w:name="the-cumulative-architecture"/>
    <w:p>
      <w:pPr>
        <w:pStyle w:val="Heading2"/>
      </w:pPr>
      <w:r>
        <w:t xml:space="preserve">2. The cumulative architecture</w:t>
      </w:r>
    </w:p>
    <w:p>
      <w:pPr>
        <w:pStyle w:val="FirstParagraph"/>
      </w:pPr>
      <w:r>
        <w:t xml:space="preserve">Each component paper isolates one or two dimensions of the variation; the cumulative claim emerges only when the cells are read together.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Paper</w:t>
            </w:r>
          </w:p>
        </w:tc>
        <w:tc>
          <w:tcPr/>
          <w:p>
            <w:pPr>
              <w:pStyle w:val="Compact"/>
              <w:jc w:val="left"/>
            </w:pPr>
            <w:r>
              <w:t xml:space="preserve">Sample</w:t>
            </w:r>
          </w:p>
        </w:tc>
        <w:tc>
          <w:tcPr/>
          <w:p>
            <w:pPr>
              <w:pStyle w:val="Compact"/>
              <w:jc w:val="left"/>
            </w:pPr>
            <w:r>
              <w:t xml:space="preserve">Institutional position</w:t>
            </w:r>
          </w:p>
        </w:tc>
        <w:tc>
          <w:tcPr/>
          <w:p>
            <w:pPr>
              <w:pStyle w:val="Compact"/>
              <w:jc w:val="left"/>
            </w:pPr>
            <w:r>
              <w:t xml:space="preserve">Capability axis tested</w:t>
            </w:r>
          </w:p>
        </w:tc>
        <w:tc>
          <w:tcPr/>
          <w:p>
            <w:pPr>
              <w:pStyle w:val="Compact"/>
              <w:jc w:val="left"/>
            </w:pPr>
            <w:r>
              <w:t xml:space="preserve">Single-paper finding</w:t>
            </w:r>
          </w:p>
        </w:tc>
      </w:tr>
      <w:tr>
        <w:tc>
          <w:tcPr/>
          <w:p>
            <w:pPr>
              <w:pStyle w:val="Compact"/>
              <w:jc w:val="left"/>
            </w:pPr>
            <w:r>
              <w:rPr>
                <w:bCs/>
                <w:b/>
              </w:rPr>
              <w:t xml:space="preserve">P1</w:t>
            </w:r>
            <w:r>
              <w:t xml:space="preserve"> </w:t>
            </w:r>
            <w:r>
              <w:t xml:space="preserve">(ICBEF 2025, published)</w:t>
            </w:r>
          </w:p>
        </w:tc>
        <w:tc>
          <w:tcPr/>
          <w:p>
            <w:pPr>
              <w:pStyle w:val="Compact"/>
              <w:jc w:val="left"/>
            </w:pPr>
            <w:r>
              <w:t xml:space="preserve">17 Asian emerging economies</w:t>
            </w:r>
          </w:p>
        </w:tc>
        <w:tc>
          <w:tcPr/>
          <w:p>
            <w:pPr>
              <w:pStyle w:val="Compact"/>
              <w:jc w:val="left"/>
            </w:pPr>
            <w:r>
              <w:t xml:space="preserve">Mixed transitional / upper-middle</w:t>
            </w:r>
          </w:p>
        </w:tc>
        <w:tc>
          <w:tcPr/>
          <w:p>
            <w:pPr>
              <w:pStyle w:val="Compact"/>
              <w:jc w:val="left"/>
            </w:pPr>
            <w:r>
              <w:t xml:space="preserve">Pooled meta-analysis baseline</w:t>
            </w:r>
          </w:p>
        </w:tc>
        <w:tc>
          <w:tcPr/>
          <w:p>
            <w:pPr>
              <w:pStyle w:val="Compact"/>
              <w:jc w:val="left"/>
            </w:pPr>
            <w:r>
              <w:t xml:space="preserve">I-P pooled r ≈ .07; high I²</w:t>
            </w:r>
          </w:p>
        </w:tc>
      </w:tr>
      <w:tr>
        <w:tc>
          <w:tcPr/>
          <w:p>
            <w:pPr>
              <w:pStyle w:val="Compact"/>
              <w:jc w:val="left"/>
            </w:pPr>
            <w:r>
              <w:rPr>
                <w:bCs/>
                <w:b/>
              </w:rPr>
              <w:t xml:space="preserve">P2</w:t>
            </w:r>
            <w:r>
              <w:t xml:space="preserve"> </w:t>
            </w:r>
            <w:r>
              <w:t xml:space="preserve">(JFAR, published)</w:t>
            </w:r>
          </w:p>
        </w:tc>
        <w:tc>
          <w:tcPr/>
          <w:p>
            <w:pPr>
              <w:pStyle w:val="Compact"/>
              <w:jc w:val="left"/>
            </w:pPr>
            <w:r>
              <w:t xml:space="preserve">China mainland</w:t>
            </w:r>
          </w:p>
        </w:tc>
        <w:tc>
          <w:tcPr/>
          <w:p>
            <w:pPr>
              <w:pStyle w:val="Compact"/>
              <w:jc w:val="left"/>
            </w:pPr>
            <w:r>
              <w:t xml:space="preserve">Upper-middle (ICRV III)</w:t>
            </w:r>
          </w:p>
        </w:tc>
        <w:tc>
          <w:tcPr/>
          <w:p>
            <w:pPr>
              <w:pStyle w:val="Compact"/>
              <w:jc w:val="left"/>
            </w:pPr>
            <w:r>
              <w:t xml:space="preserve">Cross-sectional manufacturing SMEs</w:t>
            </w:r>
          </w:p>
        </w:tc>
        <w:tc>
          <w:tcPr/>
          <w:p>
            <w:pPr>
              <w:pStyle w:val="Compact"/>
              <w:jc w:val="left"/>
            </w:pPr>
            <w:r>
              <w:t xml:space="preserve">Inverted-U confirmed in China</w:t>
            </w:r>
          </w:p>
        </w:tc>
      </w:tr>
      <w:tr>
        <w:tc>
          <w:tcPr/>
          <w:p>
            <w:pPr>
              <w:pStyle w:val="Compact"/>
              <w:jc w:val="left"/>
            </w:pPr>
            <w:r>
              <w:rPr>
                <w:bCs/>
                <w:b/>
              </w:rPr>
              <w:t xml:space="preserve">P3 Vietnam</w:t>
            </w:r>
            <w:r>
              <w:t xml:space="preserve"> </w:t>
            </w:r>
            <w:r>
              <w:t xml:space="preserve">(APJM)</w:t>
            </w:r>
          </w:p>
        </w:tc>
        <w:tc>
          <w:tcPr/>
          <w:p>
            <w:pPr>
              <w:pStyle w:val="Compact"/>
              <w:jc w:val="left"/>
            </w:pPr>
            <w:r>
              <w:t xml:space="preserve">Vietnam SMEs, 3 waves 2009/15/23</w:t>
            </w:r>
          </w:p>
        </w:tc>
        <w:tc>
          <w:tcPr/>
          <w:p>
            <w:pPr>
              <w:pStyle w:val="Compact"/>
              <w:jc w:val="left"/>
            </w:pPr>
            <w:r>
              <w:t xml:space="preserve">Transitional → emerging (ICRV III/IV)</w:t>
            </w:r>
          </w:p>
        </w:tc>
        <w:tc>
          <w:tcPr/>
          <w:p>
            <w:pPr>
              <w:pStyle w:val="Compact"/>
              <w:jc w:val="left"/>
            </w:pPr>
            <w:r>
              <w:t xml:space="preserve">TCI direct; Tier-1 DAI</w:t>
            </w:r>
          </w:p>
        </w:tc>
        <w:tc>
          <w:tcPr/>
          <w:p>
            <w:pPr>
              <w:pStyle w:val="Compact"/>
              <w:jc w:val="left"/>
            </w:pPr>
            <w:r>
              <w:t xml:space="preserve">Step-function across export-participation barrier; Tier-1 DAI obsolescent</w:t>
            </w:r>
          </w:p>
        </w:tc>
      </w:tr>
      <w:tr>
        <w:tc>
          <w:tcPr/>
          <w:p>
            <w:pPr>
              <w:pStyle w:val="Compact"/>
              <w:jc w:val="left"/>
            </w:pPr>
            <w:r>
              <w:rPr>
                <w:bCs/>
                <w:b/>
              </w:rPr>
              <w:t xml:space="preserve">P4 Singapore</w:t>
            </w:r>
            <w:r>
              <w:t xml:space="preserve"> </w:t>
            </w:r>
            <w:r>
              <w:t xml:space="preserve">(MIR)</w:t>
            </w:r>
          </w:p>
        </w:tc>
        <w:tc>
          <w:tcPr/>
          <w:p>
            <w:pPr>
              <w:pStyle w:val="Compact"/>
              <w:jc w:val="left"/>
            </w:pPr>
            <w:r>
              <w:t xml:space="preserve">Singapore SMEs, 2023</w:t>
            </w:r>
          </w:p>
        </w:tc>
        <w:tc>
          <w:tcPr/>
          <w:p>
            <w:pPr>
              <w:pStyle w:val="Compact"/>
              <w:jc w:val="left"/>
            </w:pPr>
            <w:r>
              <w:t xml:space="preserve">Advanced-Innovation (ICRV I)</w:t>
            </w:r>
          </w:p>
        </w:tc>
        <w:tc>
          <w:tcPr/>
          <w:p>
            <w:pPr>
              <w:pStyle w:val="Compact"/>
              <w:jc w:val="left"/>
            </w:pPr>
            <w:r>
              <w:t xml:space="preserve">Tier-1+2 DAI as conditional scaler</w:t>
            </w:r>
          </w:p>
        </w:tc>
        <w:tc>
          <w:tcPr/>
          <w:p>
            <w:pPr>
              <w:pStyle w:val="Compact"/>
              <w:jc w:val="left"/>
            </w:pPr>
            <w:r>
              <w:t xml:space="preserve">Digital saturation; DAI moderation only in high-FSTS tail</w:t>
            </w:r>
          </w:p>
        </w:tc>
      </w:tr>
      <w:tr>
        <w:tc>
          <w:tcPr/>
          <w:p>
            <w:pPr>
              <w:pStyle w:val="Compact"/>
              <w:jc w:val="left"/>
            </w:pPr>
            <w:r>
              <w:rPr>
                <w:bCs/>
                <w:b/>
              </w:rPr>
              <w:t xml:space="preserve">P5 China</w:t>
            </w:r>
            <w:r>
              <w:t xml:space="preserve"> </w:t>
            </w:r>
            <w:r>
              <w:t xml:space="preserve">(design + Ch4)</w:t>
            </w:r>
          </w:p>
        </w:tc>
        <w:tc>
          <w:tcPr/>
          <w:p>
            <w:pPr>
              <w:pStyle w:val="Compact"/>
              <w:jc w:val="left"/>
            </w:pPr>
            <w:r>
              <w:t xml:space="preserve">China mainland, 2 waves 2012/24</w:t>
            </w:r>
          </w:p>
        </w:tc>
        <w:tc>
          <w:tcPr/>
          <w:p>
            <w:pPr>
              <w:pStyle w:val="Compact"/>
              <w:jc w:val="left"/>
            </w:pPr>
            <w:r>
              <w:t xml:space="preserve">Upper-middle (ICRV III)</w:t>
            </w:r>
          </w:p>
        </w:tc>
        <w:tc>
          <w:tcPr/>
          <w:p>
            <w:pPr>
              <w:pStyle w:val="Compact"/>
              <w:jc w:val="left"/>
            </w:pPr>
            <w:r>
              <w:t xml:space="preserve">Temporal stability of TCI/DAI</w:t>
            </w:r>
          </w:p>
        </w:tc>
        <w:tc>
          <w:tcPr/>
          <w:p>
            <w:pPr>
              <w:pStyle w:val="Compact"/>
              <w:jc w:val="left"/>
            </w:pPr>
            <w:r>
              <w:t xml:space="preserve">Inverted-U structurally stable; three-way moderation null</w:t>
            </w:r>
          </w:p>
        </w:tc>
      </w:tr>
      <w:tr>
        <w:tc>
          <w:tcPr/>
          <w:p>
            <w:pPr>
              <w:pStyle w:val="Compact"/>
              <w:jc w:val="left"/>
            </w:pPr>
            <w:r>
              <w:rPr>
                <w:bCs/>
                <w:b/>
              </w:rPr>
              <w:t xml:space="preserve">P6 Meta</w:t>
            </w:r>
            <w:r>
              <w:t xml:space="preserve"> </w:t>
            </w:r>
            <w:r>
              <w:t xml:space="preserve">(MIR)</w:t>
            </w:r>
          </w:p>
        </w:tc>
        <w:tc>
          <w:tcPr/>
          <w:p>
            <w:pPr>
              <w:pStyle w:val="Compact"/>
              <w:jc w:val="left"/>
            </w:pPr>
            <w:r>
              <w:t xml:space="preserve">238 studies, 49 economies, 4 decades</w:t>
            </w:r>
          </w:p>
        </w:tc>
        <w:tc>
          <w:tcPr/>
          <w:p>
            <w:pPr>
              <w:pStyle w:val="Compact"/>
              <w:jc w:val="left"/>
            </w:pPr>
            <w:r>
              <w:t xml:space="preserve">Globally diverse</w:t>
            </w:r>
          </w:p>
        </w:tc>
        <w:tc>
          <w:tcPr/>
          <w:p>
            <w:pPr>
              <w:pStyle w:val="Compact"/>
              <w:jc w:val="left"/>
            </w:pPr>
            <w:r>
              <w:t xml:space="preserve">Three-level MARA + moderator tests</w:t>
            </w:r>
          </w:p>
        </w:tc>
        <w:tc>
          <w:tcPr/>
          <w:p>
            <w:pPr>
              <w:pStyle w:val="Compact"/>
              <w:jc w:val="left"/>
            </w:pPr>
            <w:r>
              <w:t xml:space="preserve">Publication bias attenuates pooled r by ~53%; moderators null at meta level</w:t>
            </w:r>
          </w:p>
        </w:tc>
      </w:tr>
      <w:tr>
        <w:tc>
          <w:tcPr/>
          <w:p>
            <w:pPr>
              <w:pStyle w:val="Compact"/>
              <w:jc w:val="left"/>
            </w:pPr>
            <w:r>
              <w:rPr>
                <w:bCs/>
                <w:b/>
              </w:rPr>
              <w:t xml:space="preserve">P7 Capstone</w:t>
            </w:r>
            <w:r>
              <w:t xml:space="preserve"> </w:t>
            </w:r>
            <w:r>
              <w:t xml:space="preserve">(design + Ch4)</w:t>
            </w:r>
          </w:p>
        </w:tc>
        <w:tc>
          <w:tcPr/>
          <w:p>
            <w:pPr>
              <w:pStyle w:val="Compact"/>
              <w:jc w:val="left"/>
            </w:pPr>
            <w:r>
              <w:t xml:space="preserve">45 economies firm-level pooled</w:t>
            </w:r>
          </w:p>
        </w:tc>
        <w:tc>
          <w:tcPr/>
          <w:p>
            <w:pPr>
              <w:pStyle w:val="Compact"/>
              <w:jc w:val="left"/>
            </w:pPr>
            <w:r>
              <w:t xml:space="preserve">All ICRV regimes</w:t>
            </w:r>
          </w:p>
        </w:tc>
        <w:tc>
          <w:tcPr/>
          <w:p>
            <w:pPr>
              <w:pStyle w:val="Compact"/>
              <w:jc w:val="left"/>
            </w:pPr>
            <w:r>
              <w:t xml:space="preserve">TCI + DAI + ICRV three-way</w:t>
            </w:r>
          </w:p>
        </w:tc>
        <w:tc>
          <w:tcPr/>
          <w:p>
            <w:pPr>
              <w:pStyle w:val="Compact"/>
              <w:jc w:val="left"/>
            </w:pPr>
            <w:r>
              <w:t xml:space="preserve">ICRV moderates curvature at firm level; three-way DAI×ICRV×Manager null</w:t>
            </w:r>
          </w:p>
        </w:tc>
      </w:tr>
      <w:tr>
        <w:tc>
          <w:tcPr/>
          <w:p>
            <w:pPr>
              <w:pStyle w:val="Compact"/>
              <w:jc w:val="left"/>
            </w:pPr>
            <w:r>
              <w:rPr>
                <w:bCs/>
                <w:b/>
              </w:rPr>
              <w:t xml:space="preserve">P8 Pacific SIDS</w:t>
            </w:r>
            <w:r>
              <w:t xml:space="preserve"> </w:t>
            </w:r>
            <w:r>
              <w:t xml:space="preserve">(World Development)</w:t>
            </w:r>
          </w:p>
        </w:tc>
        <w:tc>
          <w:tcPr/>
          <w:p>
            <w:pPr>
              <w:pStyle w:val="Compact"/>
              <w:jc w:val="left"/>
            </w:pPr>
            <w:r>
              <w:t xml:space="preserve">9 Pacific SIDS, N=1,469</w:t>
            </w:r>
          </w:p>
        </w:tc>
        <w:tc>
          <w:tcPr/>
          <w:p>
            <w:pPr>
              <w:pStyle w:val="Compact"/>
              <w:jc w:val="left"/>
            </w:pPr>
            <w:r>
              <w:t xml:space="preserve">Extreme institutional voids (ICRV VI)</w:t>
            </w:r>
          </w:p>
        </w:tc>
        <w:tc>
          <w:tcPr/>
          <w:p>
            <w:pPr>
              <w:pStyle w:val="Compact"/>
              <w:jc w:val="left"/>
            </w:pPr>
            <w:r>
              <w:t xml:space="preserve">TCI + DAI as override candidates</w:t>
            </w:r>
          </w:p>
        </w:tc>
        <w:tc>
          <w:tcPr/>
          <w:p>
            <w:pPr>
              <w:pStyle w:val="Compact"/>
              <w:jc w:val="left"/>
            </w:pPr>
            <w:r>
              <w:t xml:space="preserve">Forced Internationalization Penalty: I-P is monotone negative; capabilities do not override</w:t>
            </w:r>
          </w:p>
        </w:tc>
      </w:tr>
    </w:tbl>
    <w:p>
      <w:r>
        <w:pict>
          <v:rect style="width:0;height:1.5pt" o:hralign="center" o:hrstd="t" o:hr="t"/>
        </w:pict>
      </w:r>
    </w:p>
    <w:bookmarkEnd w:id="21"/>
    <w:bookmarkStart w:id="25" w:name="Xe3a0e252e8cc7e8097884e9ea44ba94f3ed8e65"/>
    <w:p>
      <w:pPr>
        <w:pStyle w:val="Heading2"/>
      </w:pPr>
      <w:r>
        <w:t xml:space="preserve">3. Predictions that REQUIRE the combined design</w:t>
      </w:r>
    </w:p>
    <w:p>
      <w:pPr>
        <w:pStyle w:val="FirstParagraph"/>
      </w:pPr>
      <w:r>
        <w:t xml:space="preserve">The dissertation’s distinctive contribution is</w:t>
      </w:r>
      <w:r>
        <w:t xml:space="preserve"> </w:t>
      </w:r>
      <w:r>
        <w:rPr>
          <w:bCs/>
          <w:b/>
        </w:rPr>
        <w:t xml:space="preserve">three predictions that no single paper can falsify</w:t>
      </w:r>
      <w:r>
        <w:t xml:space="preserve"> </w:t>
      </w:r>
      <w:r>
        <w:t xml:space="preserve">but the combined evidence can:</w:t>
      </w:r>
    </w:p>
    <w:bookmarkStart w:id="22" w:name="X6a250b9705bd716a133607a61fefcee0135461b"/>
    <w:p>
      <w:pPr>
        <w:pStyle w:val="Heading3"/>
      </w:pPr>
      <w:r>
        <w:t xml:space="preserve">Prediction 1: Curvature varies by institutional regime, not by intensity range</w:t>
      </w:r>
    </w:p>
    <w:p>
      <w:pPr>
        <w:pStyle w:val="FirstParagraph"/>
      </w:pPr>
      <w:r>
        <w:rPr>
          <w:iCs/>
          <w:i/>
        </w:rPr>
        <w:t xml:space="preserve">(Tested by P7 + P3 + P4 + P8 cross-paper comparison; not testable by any single paper)</w:t>
      </w:r>
    </w:p>
    <w:p>
      <w:pPr>
        <w:pStyle w:val="BodyText"/>
      </w:pPr>
      <w:r>
        <w:t xml:space="preserve">Standard theory predicts a single inverted-U with a fixed turning point. CDCM predicts the</w:t>
      </w:r>
      <w:r>
        <w:t xml:space="preserve"> </w:t>
      </w:r>
      <w:r>
        <w:rPr>
          <w:iCs/>
          <w:i/>
        </w:rPr>
        <w:t xml:space="preserve">shape</w:t>
      </w:r>
      <w:r>
        <w:t xml:space="preserve"> </w:t>
      </w:r>
      <w:r>
        <w:t xml:space="preserve">itself varies: near-flat in advanced economies (P4 Singapore), classical inverted-U in upper-middle (P5 China), step-function at participation margin in transitional (P3 Vietnam), monotone negative in institutional-void contexts (P8 Pacific SIDS). The cross-paper evidence is consistent with this prediction; no single country sample could establish it.</w:t>
      </w:r>
    </w:p>
    <w:bookmarkEnd w:id="22"/>
    <w:bookmarkStart w:id="23" w:name="X4e35c83fe36562ba1a975331ddd80d31f16ea36"/>
    <w:p>
      <w:pPr>
        <w:pStyle w:val="Heading3"/>
      </w:pPr>
      <w:r>
        <w:t xml:space="preserve">Prediction 2: Foundational digital adoption is a conditional resource, not a uniform premium</w:t>
      </w:r>
    </w:p>
    <w:p>
      <w:pPr>
        <w:pStyle w:val="FirstParagraph"/>
      </w:pPr>
      <w:r>
        <w:rPr>
          <w:iCs/>
          <w:i/>
        </w:rPr>
        <w:t xml:space="preserve">(Tested by P3 + P4 + P6 in combination)</w:t>
      </w:r>
    </w:p>
    <w:p>
      <w:pPr>
        <w:pStyle w:val="BodyText"/>
      </w:pPr>
      <w:r>
        <w:t xml:space="preserve">Standard digital-transformation theory (Verhoef et al., 2021) treats DAI as a generally positive capability. CDCM predicts that DAI’s productivity association is gated by (a) the institutional infrastructure that allows transaction-enabling digital tools to function (P4 vs P3 contrast on Tier-1+2 vs Tier-1), and (b) the export intensity at which coordination demands justify intensive use (P4 high-FSTS-tail signal). Neither P3 alone (where Tier-1-only DAI obsolesces) nor P4 alone (where Tier-1+2 DAI amplifies in high tail) could discriminate measurement boundary from substantive contingency — the contrast does.</w:t>
      </w:r>
    </w:p>
    <w:bookmarkEnd w:id="23"/>
    <w:bookmarkStart w:id="24" w:name="Xb230c3080e45eb8d9d05e851724a5e1e90f05bb"/>
    <w:p>
      <w:pPr>
        <w:pStyle w:val="Heading3"/>
      </w:pPr>
      <w:r>
        <w:t xml:space="preserve">Prediction 3: Publication bias and contextual moderation are jointly necessary explanations</w:t>
      </w:r>
    </w:p>
    <w:p>
      <w:pPr>
        <w:pStyle w:val="FirstParagraph"/>
      </w:pPr>
      <w:r>
        <w:rPr>
          <w:iCs/>
          <w:i/>
        </w:rPr>
        <w:t xml:space="preserve">(Tested by P6 + P7 in combination)</w:t>
      </w:r>
    </w:p>
    <w:p>
      <w:pPr>
        <w:pStyle w:val="BodyText"/>
      </w:pPr>
      <w:r>
        <w:t xml:space="preserve">The accumulated I-P evidence base is materially inflated by selection (P6: 53% trim-and-fill attenuation; Begg p &lt; .001). Within that bias-corrected scale, no single moderator at the meta-analytic level robustly explains residual heterogeneity (P6: ICRV not robust; cDAI, DPL null). At the firm-level micro-empirical scale (P7: 45 economies), ICRV regime interacts with FSTS curvature (both p &lt; .001).</w:t>
      </w:r>
      <w:r>
        <w:t xml:space="preserve"> </w:t>
      </w:r>
      <w:r>
        <w:rPr>
          <w:bCs/>
          <w:b/>
        </w:rPr>
        <w:t xml:space="preserve">The combined claim</w:t>
      </w:r>
      <w:r>
        <w:t xml:space="preserve">: residual heterogeneity in the published literature reflects both publication selection (which the field can address through pre-registration and bias-corrected reporting) and genuine firm-level contextual variation that the meta-analytic level cannot detect (which the field can address through individual-participant-data meta-analyses). Neither paper alone supports both halves of this claim.</w:t>
      </w:r>
    </w:p>
    <w:p>
      <w:r>
        <w:pict>
          <v:rect style="width:0;height:1.5pt" o:hralign="center" o:hrstd="t" o:hr="t"/>
        </w:pict>
      </w:r>
    </w:p>
    <w:bookmarkEnd w:id="24"/>
    <w:bookmarkEnd w:id="25"/>
    <w:bookmarkStart w:id="26" w:name="what-the-dissertation-does-not-claim"/>
    <w:p>
      <w:pPr>
        <w:pStyle w:val="Heading2"/>
      </w:pPr>
      <w:r>
        <w:t xml:space="preserve">4. What the dissertation does NOT claim</w:t>
      </w:r>
    </w:p>
    <w:p>
      <w:pPr>
        <w:pStyle w:val="FirstParagraph"/>
      </w:pPr>
      <w:r>
        <w:t xml:space="preserve">Honest scoping consistent with adversarial-review framework:</w:t>
      </w:r>
    </w:p>
    <w:p>
      <w:pPr>
        <w:numPr>
          <w:ilvl w:val="0"/>
          <w:numId w:val="1001"/>
        </w:numPr>
      </w:pPr>
      <w:r>
        <w:rPr>
          <w:bCs/>
          <w:b/>
        </w:rPr>
        <w:t xml:space="preserve">No claim that ICRV is a universal moderator at the meta level.</w:t>
      </w:r>
      <w:r>
        <w:t xml:space="preserve"> </w:t>
      </w:r>
      <w:r>
        <w:t xml:space="preserve">P6 explicitly reports drop-Frontier core-regime Q_M = 1.49, p = .68 (not robust). The firm-level interaction in P7 is the substantive ICRV finding; the meta-level test bounds it.</w:t>
      </w:r>
    </w:p>
    <w:p>
      <w:pPr>
        <w:numPr>
          <w:ilvl w:val="0"/>
          <w:numId w:val="1001"/>
        </w:numPr>
      </w:pPr>
      <w:r>
        <w:rPr>
          <w:bCs/>
          <w:b/>
        </w:rPr>
        <w:t xml:space="preserve">No claim that the inverted-U is universal across all Asian economies.</w:t>
      </w:r>
      <w:r>
        <w:t xml:space="preserve"> </w:t>
      </w:r>
      <w:r>
        <w:t xml:space="preserve">P3 (Vietnam) reframes inverted-U as step-function; P4 (Singapore) flags identification within the observed FSTS support; P8 (SIDS) demonstrates monotone-negative as a boundary condition. The</w:t>
      </w:r>
      <w:r>
        <w:t xml:space="preserve"> </w:t>
      </w:r>
      <w:r>
        <w:t xml:space="preserve">“</w:t>
      </w:r>
      <w:r>
        <w:t xml:space="preserve">universality</w:t>
      </w:r>
      <w:r>
        <w:t xml:space="preserve">”</w:t>
      </w:r>
      <w:r>
        <w:t xml:space="preserve"> </w:t>
      </w:r>
      <w:r>
        <w:t xml:space="preserve">claim of Lu &amp; Beamish (2004) and Contractor et al. (2003) is qualified to economies satisfying three structural prerequisites that SIDS and FIP-prone contexts do not.</w:t>
      </w:r>
    </w:p>
    <w:p>
      <w:pPr>
        <w:numPr>
          <w:ilvl w:val="0"/>
          <w:numId w:val="1001"/>
        </w:numPr>
      </w:pPr>
      <w:r>
        <w:rPr>
          <w:bCs/>
          <w:b/>
        </w:rPr>
        <w:t xml:space="preserve">No claim of causal identification.</w:t>
      </w:r>
      <w:r>
        <w:t xml:space="preserve"> </w:t>
      </w:r>
      <w:r>
        <w:t xml:space="preserve">All eight papers use either repeated cross-sectional or single-wave designs. The dissertation’s identification strategy is multi-mode triangulation (PSM, Heckman, IV with stated caveats per Wolfolds &amp; Siegel 2019, Oster bounds) rather than randomized variation.</w:t>
      </w:r>
    </w:p>
    <w:p>
      <w:pPr>
        <w:numPr>
          <w:ilvl w:val="0"/>
          <w:numId w:val="1001"/>
        </w:numPr>
      </w:pPr>
      <w:r>
        <w:rPr>
          <w:bCs/>
          <w:b/>
        </w:rPr>
        <w:t xml:space="preserve">No claim that Capability-Context Mismatch (CCM) interpretation is confirmed.</w:t>
      </w:r>
      <w:r>
        <w:t xml:space="preserve"> </w:t>
      </w:r>
      <w:r>
        <w:t xml:space="preserve">P6 v1.3 explicitly frames CCM as a post-hoc Discussion proposition for confirmatory replication, not as a tested theoretical lens.</w:t>
      </w:r>
    </w:p>
    <w:p>
      <w:pPr>
        <w:numPr>
          <w:ilvl w:val="0"/>
          <w:numId w:val="1001"/>
        </w:numPr>
      </w:pPr>
      <w:r>
        <w:rPr>
          <w:bCs/>
          <w:b/>
        </w:rPr>
        <w:t xml:space="preserve">No claim that Forced Internationalization Penalty (FIP) is a novel theoretical construct unrelated to prior SIDS literature.</w:t>
      </w:r>
      <w:r>
        <w:t xml:space="preserve"> </w:t>
      </w:r>
      <w:r>
        <w:t xml:space="preserve">P8 explicitly cites Briguglio (1995), Bertram (2006 MIRAB), and Briguglio et al. (2009) as the foundational SIDS literature; FIP names the firm-level operationalization of those macro-level constraints.</w:t>
      </w:r>
    </w:p>
    <w:p>
      <w:r>
        <w:pict>
          <v:rect style="width:0;height:1.5pt" o:hralign="center" o:hrstd="t" o:hr="t"/>
        </w:pict>
      </w:r>
    </w:p>
    <w:bookmarkEnd w:id="26"/>
    <w:bookmarkStart w:id="32" w:name="X7b6bb56f70247482c7ac7fbccde308a13a8dc8d"/>
    <w:p>
      <w:pPr>
        <w:pStyle w:val="Heading2"/>
      </w:pPr>
      <w:r>
        <w:t xml:space="preserve">5. Defense-anticipated questions and prepared responses</w:t>
      </w:r>
    </w:p>
    <w:bookmarkStart w:id="27" w:name="X4807cd5eafaa99c8c2fdeeff1b51395e2c74215"/>
    <w:p>
      <w:pPr>
        <w:pStyle w:val="Heading3"/>
      </w:pPr>
      <w:r>
        <w:t xml:space="preserve">Q1:</w:t>
      </w:r>
      <w:r>
        <w:t xml:space="preserve"> </w:t>
      </w:r>
      <w:r>
        <w:t xml:space="preserve">“</w:t>
      </w:r>
      <w:r>
        <w:t xml:space="preserve">What is the single contribution of this dissertation?</w:t>
      </w:r>
      <w:r>
        <w:t xml:space="preserve">”</w:t>
      </w:r>
    </w:p>
    <w:p>
      <w:pPr>
        <w:pStyle w:val="FirstParagraph"/>
      </w:pPr>
      <w:r>
        <w:rPr>
          <w:bCs/>
          <w:b/>
        </w:rPr>
        <w:t xml:space="preserve">Answer:</w:t>
      </w:r>
      <w:r>
        <w:t xml:space="preserve"> </w:t>
      </w:r>
      <w:r>
        <w:t xml:space="preserve">The contribution is the demonstration that the I-P relationship is</w:t>
      </w:r>
      <w:r>
        <w:t xml:space="preserve"> </w:t>
      </w:r>
      <w:r>
        <w:rPr>
          <w:iCs/>
          <w:i/>
        </w:rPr>
        <w:t xml:space="preserve">not</w:t>
      </w:r>
      <w:r>
        <w:t xml:space="preserve"> </w:t>
      </w:r>
      <w:r>
        <w:t xml:space="preserve">characterized by a single functional form across institutional contexts. The dissertation operationalizes the institutional and digital conditions under which the inverted-U holds, fails to hold, and inverts; and it documents that the accumulated published evidence overstates the average effect by ~53% through publication selection. No single paper in the portfolio could deliver this combined claim.</w:t>
      </w:r>
    </w:p>
    <w:bookmarkEnd w:id="27"/>
    <w:bookmarkStart w:id="28" w:name="X190ecd7c2e0e9ef16e941aebad9c2a93ab09e15"/>
    <w:p>
      <w:pPr>
        <w:pStyle w:val="Heading3"/>
      </w:pPr>
      <w:r>
        <w:t xml:space="preserve">Q2:</w:t>
      </w:r>
      <w:r>
        <w:t xml:space="preserve"> </w:t>
      </w:r>
      <w:r>
        <w:t xml:space="preserve">“</w:t>
      </w:r>
      <w:r>
        <w:t xml:space="preserve">Why so many companion papers? Is this salami slicing?</w:t>
      </w:r>
      <w:r>
        <w:t xml:space="preserve">”</w:t>
      </w:r>
    </w:p>
    <w:p>
      <w:pPr>
        <w:pStyle w:val="FirstParagraph"/>
      </w:pPr>
      <w:r>
        <w:rPr>
          <w:bCs/>
          <w:b/>
        </w:rPr>
        <w:t xml:space="preserve">Answer:</w:t>
      </w:r>
      <w:r>
        <w:t xml:space="preserve"> </w:t>
      </w:r>
      <w:r>
        <w:t xml:space="preserve">Each paper isolates a different theoretical condition (single-country institutional position, single-cohort temporal stability, multi-country generalization, meta-analytic synthesis, extreme boundary case). The dissertation’s three cumulative predictions (§3 above) require the combined design; eliminating any one paper removes a degree of freedom needed to test a prediction the others cannot. The papers are differentiated by sample, hypothesis, and method, and are honest in their disclosure of overlap (companion-paper disclosure in P3 §5.1, P4 §3.2.3, P6 §5.1).</w:t>
      </w:r>
    </w:p>
    <w:bookmarkEnd w:id="28"/>
    <w:bookmarkStart w:id="29" w:name="Xa4743deb2421c3e1d63e870200a2db21b8286f4"/>
    <w:p>
      <w:pPr>
        <w:pStyle w:val="Heading3"/>
      </w:pPr>
      <w:r>
        <w:t xml:space="preserve">Q3:</w:t>
      </w:r>
      <w:r>
        <w:t xml:space="preserve"> </w:t>
      </w:r>
      <w:r>
        <w:t xml:space="preserve">“</w:t>
      </w:r>
      <w:r>
        <w:t xml:space="preserve">How do you handle the contradiction between meta-level null moderators and firm-level significant moderators?</w:t>
      </w:r>
      <w:r>
        <w:t xml:space="preserve">”</w:t>
      </w:r>
    </w:p>
    <w:p>
      <w:pPr>
        <w:pStyle w:val="FirstParagraph"/>
      </w:pPr>
      <w:r>
        <w:rPr>
          <w:bCs/>
          <w:b/>
        </w:rPr>
        <w:t xml:space="preserve">Answer:</w:t>
      </w:r>
      <w:r>
        <w:t xml:space="preserve"> </w:t>
      </w:r>
      <w:r>
        <w:t xml:space="preserve">The meta-analytic level pools effect sizes that aggregate over within-study moderator variance; the firm-level analysis exploits that within-study variance directly. The two scales of analysis are complementary, not contradictory. This is consistent with the principal-particle distinction in micro-meta-analysis literature: pooled aggregates lose moderator signal that individual-participant data can recover. Our cumulative claim is that the field should pursue individual-participant-data meta-analyses as a methodological extension.</w:t>
      </w:r>
    </w:p>
    <w:bookmarkEnd w:id="29"/>
    <w:bookmarkStart w:id="30" w:name="Xb80a2f46ce7bdb34b05dc361b0ea21bc345df21"/>
    <w:p>
      <w:pPr>
        <w:pStyle w:val="Heading3"/>
      </w:pPr>
      <w:r>
        <w:t xml:space="preserve">Q4:</w:t>
      </w:r>
      <w:r>
        <w:t xml:space="preserve"> </w:t>
      </w:r>
      <w:r>
        <w:t xml:space="preserve">“</w:t>
      </w:r>
      <w:r>
        <w:t xml:space="preserve">Does the FIP finding generalize beyond Pacific SIDS?</w:t>
      </w:r>
      <w:r>
        <w:t xml:space="preserve">”</w:t>
      </w:r>
    </w:p>
    <w:p>
      <w:pPr>
        <w:pStyle w:val="FirstParagraph"/>
      </w:pPr>
      <w:r>
        <w:rPr>
          <w:bCs/>
          <w:b/>
        </w:rPr>
        <w:t xml:space="preserve">Answer:</w:t>
      </w:r>
      <w:r>
        <w:t xml:space="preserve"> </w:t>
      </w:r>
      <w:r>
        <w:t xml:space="preserve">No. P8 explicitly scopes FIP to contexts where all three structural prerequisites (viable home market, manageable trade costs, functional institutional support) are simultaneously absent. The dissertation makes no claim that FIP generalizes to other SIDS regions (Caribbean, Indian Ocean) or to other small economies. The contribution is to operationalize Briguglio’s (1995) and Bertram’s (2006) macro-level vulnerability framework into a firm-level testable hypothesis on a defined sample.</w:t>
      </w:r>
    </w:p>
    <w:bookmarkEnd w:id="30"/>
    <w:bookmarkStart w:id="31" w:name="Xbecbbc708854d928ff2c96367f85564f88904a9"/>
    <w:p>
      <w:pPr>
        <w:pStyle w:val="Heading3"/>
      </w:pPr>
      <w:r>
        <w:t xml:space="preserve">Q5:</w:t>
      </w:r>
      <w:r>
        <w:t xml:space="preserve"> </w:t>
      </w:r>
      <w:r>
        <w:t xml:space="preserve">“</w:t>
      </w:r>
      <w:r>
        <w:t xml:space="preserve">What is the practical implication for Vietnamese policy makers?</w:t>
      </w:r>
      <w:r>
        <w:t xml:space="preserve">”</w:t>
      </w:r>
    </w:p>
    <w:p>
      <w:pPr>
        <w:pStyle w:val="FirstParagraph"/>
      </w:pPr>
      <w:r>
        <w:rPr>
          <w:bCs/>
          <w:b/>
        </w:rPr>
        <w:t xml:space="preserve">Answer:</w:t>
      </w:r>
      <w:r>
        <w:t xml:space="preserve"> </w:t>
      </w:r>
      <w:r>
        <w:t xml:space="preserve">Three implications, all conservatively scoped. (a) The bias-corrected average return to internationalization (r ≈ .035 from P6) is materially smaller than published estimates; aggregate export-promotion ROI should be calibrated accordingly. (b) The Vietnam Mekong Delta seafood/rice export cluster sits to the right of the turning point at FSTS ≈ 39-46% (P3 + Ch5 §5.4.4); the productivity-relevant lever is upgrading from Tier-1 to Tier-2 DAI (blockchain traceability, ERP-payment integration) rather than expanding export intensity. (c) Pacific SIDS partners receive a structural caution: capacity-building investment must precede export promotion (P8 + Ch5 §5.4.3).</w:t>
      </w:r>
    </w:p>
    <w:p>
      <w:r>
        <w:pict>
          <v:rect style="width:0;height:1.5pt" o:hralign="center" o:hrstd="t" o:hr="t"/>
        </w:pict>
      </w:r>
    </w:p>
    <w:bookmarkEnd w:id="31"/>
    <w:bookmarkEnd w:id="32"/>
    <w:bookmarkStart w:id="33" w:name="Xb749013419b2d51b606f2bd6008f2473b6713f3"/>
    <w:p>
      <w:pPr>
        <w:pStyle w:val="Heading2"/>
      </w:pPr>
      <w:r>
        <w:t xml:space="preserve">6. Position relative to top-tier IB literature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Dialogue partner</w:t>
            </w:r>
          </w:p>
        </w:tc>
        <w:tc>
          <w:tcPr/>
          <w:p>
            <w:pPr>
              <w:pStyle w:val="Compact"/>
              <w:jc w:val="left"/>
            </w:pPr>
            <w:r>
              <w:t xml:space="preserve">Our position</w:t>
            </w:r>
          </w:p>
        </w:tc>
        <w:tc>
          <w:tcPr/>
          <w:p>
            <w:pPr>
              <w:pStyle w:val="Compact"/>
              <w:jc w:val="left"/>
            </w:pPr>
            <w:r>
              <w:t xml:space="preserve">Paper</w:t>
            </w:r>
          </w:p>
        </w:tc>
      </w:tr>
      <w:tr>
        <w:tc>
          <w:tcPr/>
          <w:p>
            <w:pPr>
              <w:pStyle w:val="Compact"/>
              <w:jc w:val="left"/>
            </w:pPr>
            <w:r>
              <w:t xml:space="preserve">Lu &amp; Beamish (2004) AMJ</w:t>
            </w:r>
          </w:p>
        </w:tc>
        <w:tc>
          <w:tcPr/>
          <w:p>
            <w:pPr>
              <w:pStyle w:val="Compact"/>
              <w:jc w:val="left"/>
            </w:pPr>
            <w:r>
              <w:t xml:space="preserve">Inverted-U is qualified not refuted; turning point is regime-conditional, not universal</w:t>
            </w:r>
          </w:p>
        </w:tc>
        <w:tc>
          <w:tcPr/>
          <w:p>
            <w:pPr>
              <w:pStyle w:val="Compact"/>
              <w:jc w:val="left"/>
            </w:pPr>
            <w:r>
              <w:t xml:space="preserve">P3, P4, P5, P7, P8</w:t>
            </w:r>
          </w:p>
        </w:tc>
      </w:tr>
      <w:tr>
        <w:tc>
          <w:tcPr/>
          <w:p>
            <w:pPr>
              <w:pStyle w:val="Compact"/>
              <w:jc w:val="left"/>
            </w:pPr>
            <w:r>
              <w:t xml:space="preserve">Marano et al. (2016) JoM</w:t>
            </w:r>
          </w:p>
        </w:tc>
        <w:tc>
          <w:tcPr/>
          <w:p>
            <w:pPr>
              <w:pStyle w:val="Compact"/>
              <w:jc w:val="left"/>
            </w:pPr>
            <w:r>
              <w:t xml:space="preserve">Marano remains canonical institutional moderator reference; we add three-level decomposition + firm-level interaction evidence; we do not overturn the meta-level moderator finding (it is fragile in our k=238 sample)</w:t>
            </w:r>
          </w:p>
        </w:tc>
        <w:tc>
          <w:tcPr/>
          <w:p>
            <w:pPr>
              <w:pStyle w:val="Compact"/>
              <w:jc w:val="left"/>
            </w:pPr>
            <w:r>
              <w:t xml:space="preserve">P6, P7</w:t>
            </w:r>
          </w:p>
        </w:tc>
      </w:tr>
      <w:tr>
        <w:tc>
          <w:tcPr/>
          <w:p>
            <w:pPr>
              <w:pStyle w:val="Compact"/>
              <w:jc w:val="left"/>
            </w:pPr>
            <w:r>
              <w:t xml:space="preserve">Wu et al. (2022) MIR</w:t>
            </w:r>
          </w:p>
        </w:tc>
        <w:tc>
          <w:tcPr/>
          <w:p>
            <w:pPr>
              <w:pStyle w:val="Compact"/>
              <w:jc w:val="left"/>
            </w:pPr>
            <w:r>
              <w:t xml:space="preserve">EMNE meta-analysis benchmark; our k=238 / 49 economies extends institutional coverage but reaches similar pooled r; the publication-bias finding (P6) adds a corrective dimension</w:t>
            </w:r>
          </w:p>
        </w:tc>
        <w:tc>
          <w:tcPr/>
          <w:p>
            <w:pPr>
              <w:pStyle w:val="Compact"/>
              <w:jc w:val="left"/>
            </w:pPr>
            <w:r>
              <w:t xml:space="preserve">P6</w:t>
            </w:r>
          </w:p>
        </w:tc>
      </w:tr>
      <w:tr>
        <w:tc>
          <w:tcPr/>
          <w:p>
            <w:pPr>
              <w:pStyle w:val="Compact"/>
              <w:jc w:val="left"/>
            </w:pPr>
            <w:r>
              <w:t xml:space="preserve">Bustamante et al. (2022) JIBS</w:t>
            </w:r>
          </w:p>
        </w:tc>
        <w:tc>
          <w:tcPr/>
          <w:p>
            <w:pPr>
              <w:pStyle w:val="Compact"/>
              <w:jc w:val="left"/>
            </w:pPr>
            <w:r>
              <w:t xml:space="preserve">Closest firm-level cDAI-institution interaction precedent; our P4 + P7 extend with explicit TCI vs DAI separation and ICRV regime coverage</w:t>
            </w:r>
          </w:p>
        </w:tc>
        <w:tc>
          <w:tcPr/>
          <w:p>
            <w:pPr>
              <w:pStyle w:val="Compact"/>
              <w:jc w:val="left"/>
            </w:pPr>
            <w:r>
              <w:t xml:space="preserve">P4, P7</w:t>
            </w:r>
          </w:p>
        </w:tc>
      </w:tr>
      <w:tr>
        <w:tc>
          <w:tcPr/>
          <w:p>
            <w:pPr>
              <w:pStyle w:val="Compact"/>
              <w:jc w:val="left"/>
            </w:pPr>
            <w:r>
              <w:t xml:space="preserve">Briguglio (1995), Bertram (2006 MIRAB)</w:t>
            </w:r>
          </w:p>
        </w:tc>
        <w:tc>
          <w:tcPr/>
          <w:p>
            <w:pPr>
              <w:pStyle w:val="Compact"/>
              <w:jc w:val="left"/>
            </w:pPr>
            <w:r>
              <w:t xml:space="preserve">Foundational SIDS literature; FIP (P8) operationalizes their macro-level constraints into firm-level signature</w:t>
            </w:r>
          </w:p>
        </w:tc>
        <w:tc>
          <w:tcPr/>
          <w:p>
            <w:pPr>
              <w:pStyle w:val="Compact"/>
              <w:jc w:val="left"/>
            </w:pPr>
            <w:r>
              <w:t xml:space="preserve">P8</w:t>
            </w:r>
          </w:p>
        </w:tc>
      </w:tr>
      <w:tr>
        <w:tc>
          <w:tcPr/>
          <w:p>
            <w:pPr>
              <w:pStyle w:val="Compact"/>
              <w:jc w:val="left"/>
            </w:pPr>
            <w:r>
              <w:t xml:space="preserve">Banalieva &amp; Dhanaraj (2019) JIBS</w:t>
            </w:r>
          </w:p>
        </w:tc>
        <w:tc>
          <w:tcPr/>
          <w:p>
            <w:pPr>
              <w:pStyle w:val="Compact"/>
              <w:jc w:val="left"/>
            </w:pPr>
            <w:r>
              <w:t xml:space="preserve">Digital Uppsala extension; we provide WBES-based firm-level evidence that data-augmented learning operates as Tier-2-contingent contingency, not universal premium</w:t>
            </w:r>
          </w:p>
        </w:tc>
        <w:tc>
          <w:tcPr/>
          <w:p>
            <w:pPr>
              <w:pStyle w:val="Compact"/>
              <w:jc w:val="left"/>
            </w:pPr>
            <w:r>
              <w:t xml:space="preserve">P4, P7</w:t>
            </w:r>
          </w:p>
        </w:tc>
      </w:tr>
    </w:tbl>
    <w:p>
      <w:r>
        <w:pict>
          <v:rect style="width:0;height:1.5pt" o:hralign="center" o:hrstd="t" o:hr="t"/>
        </w:pict>
      </w:r>
    </w:p>
    <w:bookmarkEnd w:id="33"/>
    <w:bookmarkStart w:id="34" w:name="reading-guide-for-the-defense-committee"/>
    <w:p>
      <w:pPr>
        <w:pStyle w:val="Heading2"/>
      </w:pPr>
      <w:r>
        <w:t xml:space="preserve">7. Reading guide for the defense committee</w:t>
      </w:r>
    </w:p>
    <w:p>
      <w:pPr>
        <w:pStyle w:val="FirstParagraph"/>
      </w:pPr>
      <w:r>
        <w:t xml:space="preserve">If the committee has limited time, the recommended reading order is:</w:t>
      </w:r>
    </w:p>
    <w:p>
      <w:pPr>
        <w:numPr>
          <w:ilvl w:val="0"/>
          <w:numId w:val="1002"/>
        </w:numPr>
        <w:pStyle w:val="Compact"/>
      </w:pPr>
      <w:r>
        <w:rPr>
          <w:bCs/>
          <w:b/>
        </w:rPr>
        <w:t xml:space="preserve">Ch1 §1.1 + §1.6</w:t>
      </w:r>
      <w:r>
        <w:t xml:space="preserve"> </w:t>
      </w:r>
      <w:r>
        <w:t xml:space="preserve">(15 min): research question + claimed contributions</w:t>
      </w:r>
    </w:p>
    <w:p>
      <w:pPr>
        <w:numPr>
          <w:ilvl w:val="0"/>
          <w:numId w:val="1002"/>
        </w:numPr>
        <w:pStyle w:val="Compact"/>
      </w:pPr>
      <w:r>
        <w:rPr>
          <w:bCs/>
          <w:b/>
        </w:rPr>
        <w:t xml:space="preserve">Ch2 §2.5</w:t>
      </w:r>
      <w:r>
        <w:t xml:space="preserve"> </w:t>
      </w:r>
      <w:r>
        <w:t xml:space="preserve">(10 min): theoretical framework + hypothesis system</w:t>
      </w:r>
    </w:p>
    <w:p>
      <w:pPr>
        <w:numPr>
          <w:ilvl w:val="0"/>
          <w:numId w:val="1002"/>
        </w:numPr>
        <w:pStyle w:val="Compact"/>
      </w:pPr>
      <w:r>
        <w:rPr>
          <w:bCs/>
          <w:b/>
        </w:rPr>
        <w:t xml:space="preserve">P6 §4.6 + §5.2</w:t>
      </w:r>
      <w:r>
        <w:t xml:space="preserve"> </w:t>
      </w:r>
      <w:r>
        <w:t xml:space="preserve">(15 min): publication-bias finding + paradox paragraph</w:t>
      </w:r>
    </w:p>
    <w:p>
      <w:pPr>
        <w:numPr>
          <w:ilvl w:val="0"/>
          <w:numId w:val="1002"/>
        </w:numPr>
        <w:pStyle w:val="Compact"/>
      </w:pPr>
      <w:r>
        <w:rPr>
          <w:bCs/>
          <w:b/>
        </w:rPr>
        <w:t xml:space="preserve">P7 Ch4 §4.3.2 + §4.3.3</w:t>
      </w:r>
      <w:r>
        <w:t xml:space="preserve"> </w:t>
      </w:r>
      <w:r>
        <w:t xml:space="preserve">(15 min): firm-level ICRV moderation evidence</w:t>
      </w:r>
    </w:p>
    <w:p>
      <w:pPr>
        <w:numPr>
          <w:ilvl w:val="0"/>
          <w:numId w:val="1002"/>
        </w:numPr>
        <w:pStyle w:val="Compact"/>
      </w:pPr>
      <w:r>
        <w:rPr>
          <w:bCs/>
          <w:b/>
        </w:rPr>
        <w:t xml:space="preserve">P8 §1 + §4.2</w:t>
      </w:r>
      <w:r>
        <w:t xml:space="preserve"> </w:t>
      </w:r>
      <w:r>
        <w:t xml:space="preserve">(10 min): FIP empirical signature</w:t>
      </w:r>
    </w:p>
    <w:p>
      <w:pPr>
        <w:numPr>
          <w:ilvl w:val="0"/>
          <w:numId w:val="1002"/>
        </w:numPr>
        <w:pStyle w:val="Compact"/>
      </w:pPr>
      <w:r>
        <w:rPr>
          <w:bCs/>
          <w:b/>
        </w:rPr>
        <w:t xml:space="preserve">This document § 3</w:t>
      </w:r>
      <w:r>
        <w:t xml:space="preserve"> </w:t>
      </w:r>
      <w:r>
        <w:t xml:space="preserve">(5 min): cumulative architecture</w:t>
      </w:r>
    </w:p>
    <w:p>
      <w:pPr>
        <w:numPr>
          <w:ilvl w:val="0"/>
          <w:numId w:val="1002"/>
        </w:numPr>
        <w:pStyle w:val="Compact"/>
      </w:pPr>
      <w:r>
        <w:rPr>
          <w:bCs/>
          <w:b/>
        </w:rPr>
        <w:t xml:space="preserve">Ch5 §5.6</w:t>
      </w:r>
      <w:r>
        <w:t xml:space="preserve"> </w:t>
      </w:r>
      <w:r>
        <w:t xml:space="preserve">(10 min): synthesis and field-level paradox</w:t>
      </w:r>
    </w:p>
    <w:p>
      <w:pPr>
        <w:pStyle w:val="FirstParagraph"/>
      </w:pPr>
      <w:r>
        <w:t xml:space="preserve">Total: ~80 minutes of focused reading covers the dissertation’s substantive contribution.</w:t>
      </w:r>
    </w:p>
    <w:p>
      <w:r>
        <w:pict>
          <v:rect style="width:0;height:1.5pt" o:hralign="center" o:hrstd="t" o:hr="t"/>
        </w:pict>
      </w:r>
    </w:p>
    <w:p>
      <w:pPr>
        <w:pStyle w:val="FirstParagraph"/>
      </w:pPr>
      <w:r>
        <w:rPr>
          <w:iCs/>
          <w:i/>
        </w:rPr>
        <w:t xml:space="preserve">Document version: 1.0 (drafted 30 May 2026 as part of the defense-readiness preparation workstream; to be refined by the candidate based on supervisor feedback and committee-specific anticipated questions.)</w:t>
      </w:r>
    </w:p>
    <w:bookmarkEnd w:id="34"/>
    <w:bookmarkEnd w:id="35"/>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2026-05-30T18:22:15Z</dcterms:created>
  <dcterms:modified xsi:type="dcterms:W3CDTF">2026-05-30T18:22:15Z</dcterms:modified>
</cp:coreProperties>
</file>

<file path=docProps/custom.xml><?xml version="1.0" encoding="utf-8"?>
<Properties xmlns="http://schemas.openxmlformats.org/officeDocument/2006/custom-properties" xmlns:vt="http://schemas.openxmlformats.org/officeDocument/2006/docPropsVTypes"/>
</file>