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Q4 2026</w:t>
      </w:r>
    </w:p>
    <w:p>
      <w:pPr>
        <w:pStyle w:val="BodyText"/>
      </w:pPr>
      <w:r>
        <w:t xml:space="preserve">The Editors-in-Chief</w:t>
      </w:r>
      <w:r>
        <w:t xml:space="preserve"> </w:t>
      </w:r>
      <w:r>
        <w:rPr>
          <w:iCs/>
          <w:i/>
        </w:rPr>
        <w:t xml:space="preserve">Management Review Quarterly</w:t>
      </w:r>
      <w:r>
        <w:t xml:space="preserve"> </w:t>
      </w:r>
      <w:r>
        <w:t xml:space="preserve">Springer</w:t>
      </w:r>
    </w:p>
    <w:p>
      <w:pPr>
        <w:pStyle w:val="BodyText"/>
      </w:pPr>
      <w:r>
        <w:rPr>
          <w:bCs/>
          <w:b/>
        </w:rPr>
        <w:t xml:space="preserve">Submission of Manuscript:</w:t>
      </w:r>
      <w:r>
        <w:t xml:space="preserve"> </w:t>
      </w:r>
      <w:r>
        <w:t xml:space="preserve">"Institutional Context, Digital Adoption, and the Internationalization–Performance Relationship: A Three-Level Meta-Analysis"</w:t>
      </w:r>
    </w:p>
    <w:p>
      <w:pPr>
        <w:pStyle w:val="BodyText"/>
      </w:pPr>
      <w:r>
        <w:t xml:space="preserve">Dear Editors-in-Chief,</w:t>
      </w:r>
    </w:p>
    <w:p>
      <w:pPr>
        <w:pStyle w:val="BodyText"/>
      </w:pPr>
      <w:r>
        <w:t xml:space="preserve">We are pleased to submit the above manuscript for consideration in</w:t>
      </w:r>
      <w:r>
        <w:t xml:space="preserve"> </w:t>
      </w:r>
      <w:r>
        <w:rPr>
          <w:iCs/>
          <w:i/>
        </w:rPr>
        <w:t xml:space="preserve">Management Review Quarterly</w:t>
      </w:r>
      <w:r>
        <w:t xml:space="preserve">. The paper reports a pre-registered, three-level meta-analytic regression analysis (MARA) of the internationalization–performance (I-P) relationship across a globally representative corpus of</w:t>
      </w:r>
      <w:r>
        <w:t xml:space="preserve"> </w:t>
      </w:r>
      <w:r>
        <w:rPr>
          <w:iCs/>
          <w:i/>
        </w:rPr>
        <w:t xml:space="preserve">k</w:t>
      </w:r>
      <w:r>
        <w:t xml:space="preserve"> </w:t>
      </w:r>
      <w:r>
        <w:t xml:space="preserve">= 238 studies (</w:t>
      </w:r>
      <w:r>
        <w:rPr>
          <w:iCs/>
          <w:i/>
        </w:rPr>
        <w:t xml:space="preserve">K</w:t>
      </w:r>
      <w:r>
        <w:t xml:space="preserve"> </w:t>
      </w:r>
      <w:r>
        <w:t xml:space="preserve">= 288 effect sizes) from 49 economies. It tests three theoretically grounded, previously untested moderators — country-level digital adoption (cDAI), institutional context regime (ICRV), and Digital Paradox Lifecycle (DPL) phase — and, in doing so, surfaces a field-level finding about the integrity of the accumulated I-P evidence base.</w:t>
      </w:r>
    </w:p>
    <w:p>
      <w:pPr>
        <w:pStyle w:val="BodyText"/>
      </w:pPr>
      <w:r>
        <w:rPr>
          <w:bCs/>
          <w:b/>
        </w:rPr>
        <w:t xml:space="preserve">Relevance to Management Review Quarterly.</w:t>
      </w:r>
      <w:r>
        <w:t xml:space="preserve"> </w:t>
      </w:r>
      <w:r>
        <w:t xml:space="preserve">MRQ's mandate is rigorous systematic reviews and meta-analyses that consolidate and critically appraise a body of evidence. The I-P relationship is the most meta-analyzed question in international business, yet pooled positive effects coexist with substantial heterogeneity. Our contribution is methodological and corrective rather than confirmatory: we apply a three-level model with full PRISMA 2020 reporting and OSF pre-registration, and we quantify how much of the literature's apparent signal survives a formal publication-bias correction.</w:t>
      </w:r>
    </w:p>
    <w:p>
      <w:pPr>
        <w:pStyle w:val="BodyText"/>
      </w:pPr>
      <w:r>
        <w:rPr>
          <w:bCs/>
          <w:b/>
        </w:rPr>
        <w:t xml:space="preserve">Key contributions.</w:t>
      </w:r>
    </w:p>
    <w:p>
      <w:pPr>
        <w:pStyle w:val="BodyText"/>
      </w:pPr>
      <w:r>
        <w:t xml:space="preserve">First, this is the first three-level MARA applied to the I-P literature. Decomposing total heterogeneity (</w:t>
      </w:r>
      <w:r>
        <w:rPr>
          <w:iCs/>
          <w:i/>
        </w:rPr>
        <w:t xml:space="preserve">I</w:t>
      </w:r>
      <w:r>
        <w:t xml:space="preserve">² = 87.8%) shows that the dominant share is</w:t>
      </w:r>
      <w:r>
        <w:t xml:space="preserve"> </w:t>
      </w:r>
      <w:r>
        <w:rPr>
          <w:iCs/>
          <w:i/>
        </w:rPr>
        <w:t xml:space="preserve">within</w:t>
      </w:r>
      <w:r>
        <w:t xml:space="preserve">-study (Level-2</w:t>
      </w:r>
      <w:r>
        <w:t xml:space="preserve"> </w:t>
      </w:r>
      <w:r>
        <w:rPr>
          <w:iCs/>
          <w:i/>
        </w:rPr>
        <w:t xml:space="preserve">I</w:t>
      </w:r>
      <w:r>
        <w:t xml:space="preserve">² = 76.1%) rather than</w:t>
      </w:r>
      <w:r>
        <w:t xml:space="preserve"> </w:t>
      </w:r>
      <w:r>
        <w:rPr>
          <w:iCs/>
          <w:i/>
        </w:rPr>
        <w:t xml:space="preserve">between</w:t>
      </w:r>
      <w:r>
        <w:t xml:space="preserve">-study (Level-3</w:t>
      </w:r>
      <w:r>
        <w:t xml:space="preserve"> </w:t>
      </w:r>
      <w:r>
        <w:rPr>
          <w:iCs/>
          <w:i/>
        </w:rPr>
        <w:t xml:space="preserve">I</w:t>
      </w:r>
      <w:r>
        <w:t xml:space="preserve">² = 11.8%) — evidence that effect-size dispersion is driven more by within-paper design variation than by between-country contextual differences, which reframes how the field should interpret I-P heterogeneity.</w:t>
      </w:r>
    </w:p>
    <w:p>
      <w:pPr>
        <w:pStyle w:val="BodyText"/>
      </w:pPr>
      <w:r>
        <w:t xml:space="preserve">Second, this is the first pre-registered meta-analytic test of ICRV institutional regime, national digital adoption (cDAI), and Digital Paradox Lifecycle phase as moderators of I-P. The hypothesized contingencies are largely</w:t>
      </w:r>
      <w:r>
        <w:t xml:space="preserve"> </w:t>
      </w:r>
      <w:r>
        <w:rPr>
          <w:iCs/>
          <w:i/>
        </w:rPr>
        <w:t xml:space="preserve">not</w:t>
      </w:r>
      <w:r>
        <w:t xml:space="preserve"> </w:t>
      </w:r>
      <w:r>
        <w:t xml:space="preserve">supported: the ICRV between-regime test is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reflects single- versus multi-country study composition rather than a monotone institutional gradient, while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These transparent null results bound the conditions under which country-level digital and institutional contingencies could operate.</w:t>
      </w:r>
    </w:p>
    <w:p>
      <w:pPr>
        <w:pStyle w:val="BodyText"/>
      </w:pPr>
      <w:r>
        <w:t xml:space="preserve">Third — and most consequentially — the analysis documents substantial publication bias.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.074 to</w:t>
      </w:r>
      <w:r>
        <w:t xml:space="preserve"> </w:t>
      </w:r>
      <w:r>
        <w:rPr>
          <w:iCs/>
          <w:i/>
        </w:rPr>
        <w:t xml:space="preserve">r</w:t>
      </w:r>
      <w:r>
        <w:t xml:space="preserve"> </w:t>
      </w:r>
      <w:r>
        <w:t xml:space="preserve">= .035, an implied ~53% attenuation (Begg's</w:t>
      </w:r>
      <w:r>
        <w:t xml:space="preserve"> </w:t>
      </w:r>
      <w:r>
        <w:rPr>
          <w:iCs/>
          <w:i/>
        </w:rPr>
        <w:t xml:space="preserve">p</w:t>
      </w:r>
      <w:r>
        <w:t xml:space="preserve"> </w:t>
      </w:r>
      <w:r>
        <w:t xml:space="preserve">&lt; .001; Egger's</w:t>
      </w:r>
      <w:r>
        <w:t xml:space="preserve"> </w:t>
      </w:r>
      <w:r>
        <w:rPr>
          <w:iCs/>
          <w:i/>
        </w:rPr>
        <w:t xml:space="preserve">p</w:t>
      </w:r>
      <w:r>
        <w:t xml:space="preserve"> </w:t>
      </w:r>
      <w:r>
        <w:t xml:space="preserve">= .057). Read as a corrective contribution, this indicates that four decades of I-P evidence may be materially inflated by publication selection, and it suggests that the field's unresolved heterogeneity reflects selection processes more than the contextual moderators commonly invoked.</w:t>
      </w:r>
    </w:p>
    <w:p>
      <w:pPr>
        <w:pStyle w:val="BodyText"/>
      </w:pPr>
      <w:r>
        <w:rPr>
          <w:bCs/>
          <w:b/>
        </w:rPr>
        <w:t xml:space="preserve">Originality and conflicts of interest.</w:t>
      </w:r>
      <w:r>
        <w:t xml:space="preserve"> </w:t>
      </w:r>
      <w:r>
        <w:t xml:space="preserve">This manuscript is original, has not been published previously, and is not under consideration elsewhere. Both authors approved the submission. The authors declare no conflict of interest, and the research received no specific grant from any funding agency in the public, commercial, or not-for-profit sectors. Pre-registration, data, and replication code (R/metafor, with an independent Python cross-check) are openly available on OSF (</w:t>
      </w:r>
      <w:hyperlink r:id="rId20">
        <w:r>
          <w:rPr>
            <w:rStyle w:val="Hyperlink"/>
          </w:rPr>
          <w:t xml:space="preserve">https://osf.io/z37kn</w:t>
        </w:r>
      </w:hyperlink>
      <w:r>
        <w:t xml:space="preserve">).</w:t>
      </w:r>
    </w:p>
    <w:p>
      <w:pPr>
        <w:pStyle w:val="BodyText"/>
      </w:pPr>
      <w:r>
        <w:rPr>
          <w:bCs/>
          <w:b/>
        </w:rPr>
        <w:t xml:space="preserve">Manuscript classification.</w:t>
      </w:r>
    </w:p>
    <w:p>
      <w:pPr>
        <w:numPr>
          <w:ilvl w:val="0"/>
          <w:numId w:val="1001"/>
        </w:numPr>
        <w:pStyle w:val="Compact"/>
      </w:pPr>
      <w:r>
        <w:t xml:space="preserve">Paper type: Research article (systematic meta-analysis)</w:t>
      </w:r>
    </w:p>
    <w:p>
      <w:pPr>
        <w:numPr>
          <w:ilvl w:val="0"/>
          <w:numId w:val="1001"/>
        </w:numPr>
        <w:pStyle w:val="Compact"/>
      </w:pPr>
      <w:r>
        <w:t xml:space="preserve">Length: approximately 14,900 words including appendices</w:t>
      </w:r>
    </w:p>
    <w:p>
      <w:pPr>
        <w:numPr>
          <w:ilvl w:val="0"/>
          <w:numId w:val="1001"/>
        </w:numPr>
        <w:pStyle w:val="Compact"/>
      </w:pPr>
      <w:r>
        <w:t xml:space="preserve">Studies (</w:t>
      </w:r>
      <w:r>
        <w:rPr>
          <w:iCs/>
          <w:i/>
        </w:rPr>
        <w:t xml:space="preserve">k</w:t>
      </w:r>
      <w:r>
        <w:t xml:space="preserve">): 238; effect sizes (</w:t>
      </w:r>
      <w:r>
        <w:rPr>
          <w:iCs/>
          <w:i/>
        </w:rPr>
        <w:t xml:space="preserve">K</w:t>
      </w:r>
      <w:r>
        <w:t xml:space="preserve">): 288; economies: 49</w:t>
      </w:r>
    </w:p>
    <w:p>
      <w:pPr>
        <w:numPr>
          <w:ilvl w:val="0"/>
          <w:numId w:val="1001"/>
        </w:numPr>
        <w:pStyle w:val="Compact"/>
      </w:pPr>
      <w:r>
        <w:t xml:space="preserve">Keywords: internationalization–performance; meta-analysis; three-level model; digital adoption; institutional context; ICRV; Digital Paradox Lifecycle; global</w:t>
      </w:r>
    </w:p>
    <w:p>
      <w:pPr>
        <w:pStyle w:val="FirstParagraph"/>
      </w:pPr>
      <w:r>
        <w:t xml:space="preserve">We hope the manuscript will be of interest to MRQ's readership and look forward to the review process.</w:t>
      </w:r>
    </w:p>
    <w:p>
      <w:pPr>
        <w:pStyle w:val="BodyText"/>
      </w:pPr>
      <w:r>
        <w:t xml:space="preserve">Yours sincerely,</w:t>
      </w:r>
    </w:p>
    <w:p>
      <w:pPr>
        <w:pStyle w:val="BodyText"/>
      </w:pPr>
      <w:r>
        <w:t xml:space="preserve">Đỗ Thị Thúy Hương (Do Thi Thuy Huong)</w:t>
      </w:r>
      <w:r>
        <w:t xml:space="preserve"> </w:t>
      </w:r>
      <w:r>
        <w:t xml:space="preserve">PhD Candidate, College of Economics, Can Tho University (CTU), Vietnam</w:t>
      </w:r>
      <w:r>
        <w:t xml:space="preserve"> </w:t>
      </w:r>
      <w:r>
        <w:t xml:space="preserve">Email:</w:t>
      </w:r>
      <w:r>
        <w:t xml:space="preserve"> </w:t>
      </w:r>
      <w:hyperlink r:id="rId21">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 Corresponding author</w:t>
      </w:r>
      <w:r>
        <w:t xml:space="preserve"> </w:t>
      </w:r>
      <w:r>
        <w:t xml:space="preserve">Email:</w:t>
      </w:r>
      <w:r>
        <w:t xml:space="preserve"> </w:t>
      </w:r>
      <w:hyperlink r:id="rId22">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2026-05-30T18:23:01Z</dcterms:created>
  <dcterms:modified xsi:type="dcterms:W3CDTF">2026-05-30T18:23:01Z</dcterms:modified>
</cp:coreProperties>
</file>

<file path=docProps/custom.xml><?xml version="1.0" encoding="utf-8"?>
<Properties xmlns="http://schemas.openxmlformats.org/officeDocument/2006/custom-properties" xmlns:vt="http://schemas.openxmlformats.org/officeDocument/2006/docPropsVTypes"/>
</file>