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108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108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H1b (biên cường độ,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h5-thể-chế-icrv-điều-tiết-theo-gradient"/>
    <w:p>
      <w:pPr>
        <w:pStyle w:val="Heading5"/>
      </w:pPr>
      <w:r>
        <w:t xml:space="preserve">H5: Thể chế ICRV điều tiết theo gradient</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pooled TP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gradient (Nhóm IV, điểm uốn 43,0%); duỗi thẳng gần tuyến tính dương ở biên trên (Nhóm I–II); mất cấu trúc ở biên dưới (Nhóm V không ý nghĩa; Nhóm VI có khuôn mẫu gánh nặng bắt buộc). Thể chế càng mạnh; ở biên trên gradient,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18.957</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two-way hiệu ứng cố định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gradient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hiệu ứng cố định,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108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panel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τ=−0,134 (p=.0007), cắt và điền k=58 imputed,</w:t>
      </w:r>
      <w:r>
        <w:t xml:space="preserve"> </w:t>
      </w:r>
      <w:r>
        <w:rPr>
          <w:iCs/>
          <w:i/>
        </w:rPr>
        <w:t xml:space="preserve">r</w:t>
      </w:r>
      <w:r>
        <w:t xml:space="preserve">_adj=0,035, gộp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xác nhận Forced quốc tế hóa Penalty: quan hệ âm đơn điệu không có điểm uốn,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2026-06-18T14:28:15Z</dcterms:created>
  <dcterms:modified xsi:type="dcterms:W3CDTF">2026-06-18T14:28:15Z</dcterms:modified>
</cp:coreProperties>
</file>

<file path=docProps/custom.xml><?xml version="1.0" encoding="utf-8"?>
<Properties xmlns="http://schemas.openxmlformats.org/officeDocument/2006/custom-properties" xmlns:vt="http://schemas.openxmlformats.org/officeDocument/2006/docPropsVTypes"/>
</file>