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Resource-Based View (Barney, 1991; Wernerfelt, 1984), Institutional Theory (North, 1990; Khanna &amp; Palepu, 2010; Peng, 2003) và Upper Echelons Theory (Hambrick &amp; Mason, 1984; Hambrick, 2007), kết hợp với Foundational Digital Adoption Framework (Banalieva &amp; Dhanaraj, 2019; Verhoef et al., 2021; Stallkamp &amp; Schotter, 2021) làm nền tảng lý thuyết. Bốn truyền thống này không vận hành song song mà hội tụ quanh một trục tổ chức duy nhất: chế độ thể chế ICRV hoạt động như một bộ lọc chi phí giao dịch (transaction cost filter) xác định một bản đồ địa hình xuất khẩu chiến lược (strategic export topography), trong đó RBV (TCI, DAI) là các tấm lá chắn cấp doanh nghiệp, Uppsala mô tả sự di chuyển dọc theo địa hình, còn Upper Echelons đi vào như biến kiểm soát nội sinh về chất lượng quản trị. Lược khảo năm dạng hàm quan hệ quốc tế hóa,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có điều kiện ở Emerging/Frontier (H3a, dương trong OLS nhưng phụ thuộc bối cảnh và có thể null trong kiểm định nhân quả) và có điều kiện/null ở Advanced (H3b), phân biệt với TCI; H4 (kiểm soát quản trị nội sinh) đưa đặc điểm nhà quản trị (kinh nghiệm, học vấn, giới tính) vào như nhóm biến kiểm soát quản trị nội sinh, không phải nhân tố điều tiết trọng tâm, nhằm khóa chặt thiên lệch nội sinh phát sinh từ năng lực và sự đa dạng giới của nhà quản trị và bảo vệ tính nhân quả thuần khiết của tương tác Thể chế × Công nghệ; H5 thể chế nội địa điều tiết theo gradient ICRV sáu nhóm; H6 tính không đồng nhất theo thời gian. Bốn nhân tố điều tiết trọng tâm của khung là TCI (H2), DAI (H3), chế độ thể chế ICRV (H5), và thời gian (H6).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under review), P4 Singapore (MIR, under review), P5 Trung Quốc (IJOEM, under review),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=.942), conditional or null for Advanced (H3b), and distinguishable from TCI; H4 (endogenous governance control) enters top manager characteristics (experience, education, and gender) as a set of endogenous governance control variables rather than focal moderators, locking down the endogeneity bias arising from managerial capability and gender diversity in order to protect the causal purity of the Institution × Technology interaction; H5 home-country institutions moderating along the ICRV six-regime gradient; H6 temporal heterogeneity. The four focal moderators of the framework are TCI (H2), DAI (H3), the ICRV institutional regime (H5), and time (H6).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tài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Hàm ý quản trị: lộ trình chiến lược ba giai đoạn</w:t>
      </w:r>
      <w:r>
        <w:t xml:space="preserve"> </w:t>
      </w:r>
      <w:r>
        <w:t xml:space="preserve">2.4.3 Hạn chế nghiên cứu</w:t>
      </w:r>
      <w:r>
        <w:t xml:space="preserve"> </w:t>
      </w:r>
      <w:r>
        <w:t xml:space="preserve">2.4.4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1" w:name="phần-2-nội-dung-chuyên-đề"/>
    <w:p>
      <w:pPr>
        <w:pStyle w:val="Heading2"/>
      </w:pPr>
      <w:r>
        <w:t xml:space="preserve">Phần 2, NỘI DUNG CHUYÊN ĐỀ</w:t>
      </w:r>
    </w:p>
    <w:bookmarkStart w:id="32" w:name="đặt-vấn-đề"/>
    <w:p>
      <w:pPr>
        <w:pStyle w:val="Heading3"/>
      </w:pPr>
      <w:r>
        <w:t xml:space="preserve">2.1 Đặt vấn đề</w:t>
      </w:r>
    </w:p>
    <w:bookmarkStart w:id="27" w:name="giới-thiệu"/>
    <w:p>
      <w:pPr>
        <w:pStyle w:val="Heading4"/>
      </w:pPr>
      <w:r>
        <w:t xml:space="preserve">2.1.1 Giới thiệu</w:t>
      </w:r>
    </w:p>
    <w:p>
      <w:pPr>
        <w:pStyle w:val="FirstParagraph"/>
      </w:pPr>
      <w:r>
        <w:t xml:space="preserve">Trong hơn nửa thế kỷ qua, quốc tế hóa vẫn là một trong những chiến lược phát triển then chốt của doanh nghiệp, song bằng chứng về hiệu quả mà nó mang lại vẫn chưa thống nhất. Các nghiên cứu trong lĩnh vực kinh doanh quốc tế (international business, IB) đã ghi nhận năm dạng hàm mô tả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phân tán này không phải là mâu thuẫn cần loại bỏ, mà là biểu hiện của tính phụ thuộc bối cảnh: cùng một mức cường độ xuất khẩu có thể trở thành lợi thế hoặc gánh nặng, tùy theo (1) năng lực doanh nghiệp, (2) chất lượng thể chế quốc gia, và (3) giai đoạn phát triển số (Bausch &amp; Krist, 2007; Kirca et al., 2012; Marano et al., 2016; Wu, Wood &amp; Khan, 2022).</w:t>
      </w:r>
    </w:p>
    <w:p>
      <w:pPr>
        <w:pStyle w:val="BodyText"/>
      </w:pPr>
      <w:r>
        <w:t xml:space="preserve">Châu Á giai đoạn 2009-2025 cung cấp một phòng thí nghiệm tự nhiên hiếm có để kiểm định quan hệ I-P, bởi khu vực này dung chứa đồng thời ít nhất sáu chế độ thể chế khác biệt theo khung phân loại ICRV. Chính sự đồng tồn tại của các chế độ này, trong cùng một khoảng thời gian và trên cùng một nguồn dữ liệu chuẩn hóa, cho phép phân tách hiệu ứng thể chế khỏi hiệu ứng thời kỳ, điều mà các nghiên cứu đơn quốc gia không thể thực hiện. Sáu chế độ bao gồm: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Song song với sự đa dạng thể chế đó, châu Á đang trải qua một làn sóng chuyển đổi số chưa từng có tiền lệ trong giai đoạn 2018-2025. Sự bùng nổ của hạ tầng số và trí tuệ nhân tạo từ năm 2023 không chỉ là một biến ngoại sinh, mà đã tái định hình chính cơ chế qua đó năng lực số chi phối quan hệ giữa quốc tế hóa và hiệu quả doanh nghiệp (Banalieva &amp; Dhanaraj, 2019; Verhoef et al., 2021; Yang, Zhao &amp; Wei, 2025). Hệ quả là bất kỳ mô hình I-P nào cho châu Á đương đại cũng cần nội sinh hóa yếu tố số thay vì xem nó như một biến kiểm soát thuần túy.</w:t>
      </w:r>
    </w:p>
    <w:p>
      <w:pPr>
        <w:pStyle w:val="BodyText"/>
      </w:pPr>
      <w:r>
        <w:t xml:space="preserve">Tuy nhiên, khung lý thuyết hiện hành về quan hệ I-P vẫn còn phân tán. Các tổng quan quy mô lớn thường chỉ khai thác một hoặc hai khía cạnh và hiếm khi đề xuất một khung tích hợp đa tầng đủ sức giải thích trọn vẹn tính không đồng nhất quan sát được ở châu Á (Kirca et al., 2012; Marano et al., 2016). Khoảng trống này đặc biệt rõ ở chiều cạnh số: khung áp dụng số nền tảng (Foundational Digital Adoption Framework) mới chỉ được đề xuất gần đây (Verhoef et al., 2021) và chưa được tích hợp một cách hệ thống với bốn tầng lý thuyết kinh điển. Chính khoảng trống tích hợp lý thuyết và bằng chứng này định hình động lực của chuyên đề.</w:t>
      </w:r>
    </w:p>
    <w:p>
      <w:pPr>
        <w:pStyle w:val="BodyText"/>
      </w:pPr>
      <w:r>
        <w:t xml:space="preserve">Kết quả phân tích mô tả trong Chuyên đề Tiến sĩ số 1 đã phác họa một bức tranh thực trạng đa chiều trên 101.185 doanh nghiệp WBES thuộc 47 nền kinh tế, làm nổi bật ba pattern then chốt: (1) phân tán năng suất tăng đơn điệu theo chế độ thể chế từ Nhóm I đến Nhóm VI; (2) tính không đồng nhất nội bộ rõ rệt trong nhóm Advanced; và (3) pattern thích ứng đặc trưng của các quốc đảo nhỏ Thái Bình Dương. Quan trọng hơn, phân tích đó làm lộ diện CDCM (Mô hình Áp dụng số và Năng lực phụ thuộc bối cảnh): tác động của DAI lên hiệu quả không cố định mà phụ thuộc vào chế độ thể chế, giai đoạn quốc tế hóa, và mức độ bão hòa số của nền kinh tế. Ba pattern thực nghiệm này đặt ra một yêu cầu lý thuyết cụ thể, đó là cần một mô hình có khả năng giải thích vì sao cùng một mức quốc tế hóa lại cho hiệu quả khác nhau giữa các chế độ; Chuyên đề 2 tiếp nối trực tiếp mạch đó, xây dựng một mô hình vừa lý thuyết vừa thực nghiệm nhằm giải thích cơ chế đằng sau các pattern này.</w:t>
      </w:r>
    </w:p>
    <w:p>
      <w:pPr>
        <w:pStyle w:val="BodyText"/>
      </w:pPr>
      <w:r>
        <w:t xml:space="preserve">Khung đề xuất không dừng lại ở lý thuyết: bốn bản thảo thực nghiệm đồng hành đã cung cấp bằng chứng quốc gia cụ thể để kiểm định khả năng giải thích của nó.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under review) phân tích 623 doanh nghiệp WBES 2023, cho thấy điểm uốn hàm ý ở FSTS khoảng 82% và DAI hoạt động như nguồn lực mở rộng tình huống với hệ số DAI×</w:t>
      </w:r>
      <m:oMath>
        <m:sSup>
          <m:e>
            <m:r>
              <m:rPr>
                <m:nor/>
                <m:sty m:val="p"/>
              </m:rPr>
              <m:t>FSTS</m:t>
            </m:r>
          </m:e>
          <m:sup>
            <m:r>
              <m:t>2</m:t>
            </m:r>
          </m:sup>
        </m:sSup>
      </m:oMath>
      <w:r>
        <w:t xml:space="preserve"> </w:t>
      </w:r>
      <w:r>
        <w:t xml:space="preserve">= +3,119 (p = 0,005). P5 Trung Quốc (Đỗ &amp; Phan, 2026, IJOEM under review) phân tích 4.559 doanh nghiệp WBES hai sóng (2012, 2024) xác nhận chữ U ngược bền vững cấu trúc với điểm uốn 49,4% (2012) và 47,2% (2024).</w:t>
      </w:r>
    </w:p>
    <w:bookmarkEnd w:id="27"/>
    <w:bookmarkStart w:id="28"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đó là nhiệm vụ của các bài báo tiếp theo trong chuỗi luận án. Chuyên đề này tập trung xây dựng và đặc tả mô hình.</w:t>
      </w:r>
    </w:p>
    <w:bookmarkEnd w:id="30"/>
    <w:bookmarkStart w:id="31" w:name="ý-nghĩa"/>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các nghiên cứu IB cho khu vực 47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các nghiên cứu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đặc biệt trong giai đoạn AI bùng nổ.</w:t>
      </w:r>
    </w:p>
    <w:p>
      <w:r>
        <w:pict>
          <v:rect style="width:0;height:1.5pt" o:hralign="center" o:hrstd="t" o:hr="t"/>
        </w:pict>
      </w:r>
    </w:p>
    <w:bookmarkEnd w:id="31"/>
    <w:bookmarkEnd w:id="32"/>
    <w:bookmarkStart w:id="33"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kết-quả-và-thảo-luận"/>
    <w:p>
      <w:pPr>
        <w:pStyle w:val="Heading3"/>
      </w:pPr>
      <w:r>
        <w:t xml:space="preserve">2.3 Kết quả và thảo luận</w:t>
      </w:r>
    </w:p>
    <w:bookmarkStart w:id="37" w:name="X738edd18734ed39dd3ad1441b2baf3f5818c8a1"/>
    <w:p>
      <w:pPr>
        <w:pStyle w:val="Heading4"/>
      </w:pPr>
      <w:r>
        <w:t xml:space="preserve">2.3.1 Tổng quan tài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Các nghiên cứu IB không hội tụ về một dạng hàm duy nhất cho quan hệ I-P mà ghi nhận ít nhất năm dạng riêng biệt. Chính sự tồn tại song song của năm dạng này, chứ không phải bản thân từng dạng, mới là dữ kiện cần được giải thích: chúng phản ánh việc hiệu ứng quốc tế hóa thay đổi theo bối cảnh năng lực, thể chế, và giai đoạn số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w:t>
      </w:r>
      <w:r>
        <w:t xml:space="preserve"> </w:t>
      </w:r>
      <m:oMath>
        <m:sSub>
          <m:e>
            <m:r>
              <m:t>β</m:t>
            </m:r>
          </m:e>
          <m:sub>
            <m:r>
              <m:t>1</m:t>
            </m:r>
          </m:sub>
        </m:sSub>
      </m:oMath>
      <w:r>
        <w:t xml:space="preserve">(FSTS) &gt; 0,</w:t>
      </w:r>
      <w:r>
        <w:t xml:space="preserve"> </w:t>
      </w:r>
      <m:oMath>
        <m:sSub>
          <m:e>
            <m:r>
              <m:t>β</m:t>
            </m:r>
          </m:e>
          <m:sub>
            <m:r>
              <m:t>2</m:t>
            </m:r>
          </m:sub>
        </m:sSub>
      </m:oMath>
      <w:r>
        <w:t xml:space="preserve">(</w:t>
      </w:r>
      <m:oMath>
        <m:sSup>
          <m:e>
            <m:r>
              <m:rPr>
                <m:nor/>
                <m:sty m:val="p"/>
              </m:rPr>
              <m:t>FSTS</m:t>
            </m:r>
          </m:e>
          <m:sup>
            <m:r>
              <m:t>2</m:t>
            </m:r>
          </m:sup>
        </m:sSup>
      </m:oMath>
      <w:r>
        <w:t xml:space="preserve">) &lt; 0,</w:t>
      </w:r>
      <w:r>
        <w:t xml:space="preserve"> </w:t>
      </w:r>
      <m:oMath>
        <m:sSub>
          <m:e>
            <m:r>
              <m:t>β</m:t>
            </m:r>
          </m:e>
          <m:sub>
            <m:r>
              <m:t>3</m:t>
            </m:r>
          </m:sub>
        </m:sSub>
      </m:oMath>
      <w:r>
        <w:t xml:space="preserve">(</w:t>
      </w:r>
      <m:oMath>
        <m:sSup>
          <m:e>
            <m:r>
              <m:rPr>
                <m:nor/>
                <m:sty m:val="p"/>
              </m:rPr>
              <m:t>FSTS</m:t>
            </m:r>
          </m:e>
          <m:sup>
            <m:r>
              <m:t>3</m:t>
            </m:r>
          </m:sup>
        </m:sSup>
      </m:oMath>
      <w:r>
        <w:t xml:space="preserve">)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 là hàm lợi ích và C(, ) là hàm chi phí. Sự khác biệt giữa các dạng hàm nằm ở hình dạng của B(, ) và C(, ) tùy theo ngữ cảnh thể chế, năng lực doanh nghiệp, và giai đoạn số hóa.</w:t>
      </w:r>
    </w:p>
    <w:p>
      <w:pPr>
        <w:pStyle w:val="BodyText"/>
      </w:pPr>
      <w:r>
        <w:t xml:space="preserve">Bảng 2.2. Năm dạng hàm I-P,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quy mô lớn trải dài giai đoạn 1980-2024 hội tụ về một kết luận chung, hiệu ứng I-P dương nhưng nhỏ và dị biệt cao, song mỗi tổng quan đều để lại đúng những khoảng trống mà chuyên đề này nhắm tới.</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bối cảnh thể chế quốc gia xuất xứ điều tiết đáng kể mối quan hệ I-P, củng cố cơ sở cho H5 (điều tiết theo chế độ thể chế ICRV) — trong nghiên cứu này được vận hành hóa như sự thay đổi</w:t>
      </w:r>
      <w:r>
        <w:t xml:space="preserve"> </w:t>
      </w:r>
      <w:r>
        <w:rPr>
          <w:iCs/>
          <w:i/>
        </w:rPr>
        <w:t xml:space="preserve">độ cong (concavity)</w:t>
      </w:r>
      <w:r>
        <w:t xml:space="preserve"> </w:t>
      </w:r>
      <w:r>
        <w:t xml:space="preserve">của đường cong theo chất lượng thể chế, chứ không phải sự dịch chuyển đơn điệu của điểm uốn.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Partial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Partial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w:t>
            </w:r>
            <w:r>
              <w:t xml:space="preserve">$15%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 JFAR)</w:t>
            </w:r>
          </w:p>
        </w:tc>
        <w:tc>
          <w:tcPr/>
          <w:p>
            <w:pPr>
              <w:pStyle w:val="Compact"/>
              <w:jc w:val="left"/>
            </w:pPr>
            <w:r>
              <w:t xml:space="preserve">Có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Kiểm soát (H4: kiểm soát quản trị nội sinh)</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 đến VI)</w:t>
            </w:r>
          </w:p>
        </w:tc>
        <w:tc>
          <w:tcPr/>
          <w:p>
            <w:pPr>
              <w:pStyle w:val="Compact"/>
              <w:jc w:val="left"/>
            </w:pPr>
            <w:r>
              <w:rPr>
                <w:bCs/>
                <w:b/>
              </w:rPr>
              <w:t xml:space="preserve">Có (Nhóm VI FIP)</w:t>
            </w:r>
          </w:p>
        </w:tc>
      </w:tr>
    </w:tbl>
    <w:p>
      <w:pPr>
        <w:pStyle w:val="BodyText"/>
      </w:pPr>
      <w:r>
        <w:rPr>
          <w:iCs/>
          <w:i/>
        </w:rPr>
        <w:t xml:space="preserve">Ghi chú: Có = kiểm định chính thức hoặc đóng góp lý thuyết rõ ràng; Partial = đề cập nhưng không phải trọng tâm; Không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w:t>
      </w:r>
      <w:r>
        <w:rPr>
          <w:iCs/>
          <w:i/>
        </w:rPr>
        <w:t xml:space="preserve"> </w:t>
      </w:r>
      <m:oMath>
        <m:sSub>
          <m:e>
            <m:r>
              <m:t>β</m:t>
            </m:r>
          </m:e>
          <m:sub>
            <m:r>
              <m:t>1</m:t>
            </m:r>
          </m:sub>
        </m:sSub>
      </m:oMath>
      <w:r>
        <w:rPr>
          <w:iCs/>
          <w:i/>
        </w:rPr>
        <w:t xml:space="preserve"> </w:t>
      </w:r>
      <w:r>
        <w:rPr>
          <w:iCs/>
          <w:i/>
        </w:rPr>
        <w:t xml:space="preserve">FSTS_c +</w:t>
      </w:r>
      <w:r>
        <w:rPr>
          <w:iCs/>
          <w:i/>
        </w:rPr>
        <w:t xml:space="preserve"> </w:t>
      </w:r>
      <m:oMath>
        <m:sSub>
          <m:e>
            <m:r>
              <m:t>β</m:t>
            </m:r>
          </m:e>
          <m:sub>
            <m:r>
              <m:t>2</m:t>
            </m:r>
          </m:sub>
        </m:sSub>
      </m:oMath>
      <w:r>
        <w:rPr>
          <w:iCs/>
          <w:i/>
        </w:rPr>
        <w:t xml:space="preserve"> </w:t>
      </w:r>
      <m:oMath>
        <m:sSubSup>
          <m:e>
            <m:r>
              <m:rPr>
                <m:nor/>
                <m:sty m:val="p"/>
              </m:rPr>
              <m:t>FSTS</m:t>
            </m:r>
          </m:e>
          <m:sub>
            <m:r>
              <m:t>c</m:t>
            </m:r>
          </m:sub>
          <m:sup>
            <m:r>
              <m:t>2</m:t>
            </m:r>
          </m:sup>
        </m:sSubSup>
      </m:oMath>
      <w:r>
        <w:rPr>
          <w:iCs/>
          <w:i/>
        </w:rPr>
        <w:t xml:space="preserve"> </w:t>
      </w:r>
      <w:r>
        <w:rPr>
          <w:iCs/>
          <w:i/>
        </w:rPr>
        <w:t xml:space="preserve">+</w:t>
      </w:r>
      <w:r>
        <w:rPr>
          <w:iCs/>
          <w:i/>
        </w:rPr>
        <w:t xml:space="preserve"> </w:t>
      </w:r>
      <m:oMath>
        <m:sSub>
          <m:e>
            <m:r>
              <m:t>β</m:t>
            </m:r>
          </m:e>
          <m:sub>
            <m:r>
              <m:t>3</m:t>
            </m:r>
          </m:sub>
        </m:sSub>
      </m:oMath>
      <w:r>
        <w:rPr>
          <w:iCs/>
          <w:i/>
        </w:rPr>
        <w:t xml:space="preserve"> </w:t>
      </w:r>
      <w:r>
        <w:rPr>
          <w:iCs/>
          <w:i/>
        </w:rPr>
        <w:t xml:space="preserve">TCI_z +</w:t>
      </w:r>
      <w:r>
        <w:rPr>
          <w:iCs/>
          <w:i/>
        </w:rPr>
        <w:t xml:space="preserve"> </w:t>
      </w:r>
      <m:oMath>
        <m:sSub>
          <m:e>
            <m:r>
              <m:t>β</m:t>
            </m:r>
          </m:e>
          <m:sub>
            <m:r>
              <m:t>4</m:t>
            </m:r>
          </m:sub>
        </m:sSub>
      </m:oMath>
      <w:r>
        <w:rPr>
          <w:iCs/>
          <w:i/>
        </w:rPr>
        <w:t xml:space="preserve"> </w:t>
      </w:r>
      <w:r>
        <w:rPr>
          <w:iCs/>
          <w:i/>
        </w:rPr>
        <w:t xml:space="preserve">DAI_z +</w:t>
      </w:r>
      <w:r>
        <w:rPr>
          <w:iCs/>
          <w:i/>
        </w:rPr>
        <w:t xml:space="preserve"> </w:t>
      </w:r>
      <m:oMath>
        <m:sSub>
          <m:e>
            <m:r>
              <m:t>β</m:t>
            </m:r>
          </m:e>
          <m:sub>
            <m:r>
              <m:t>5</m:t>
            </m:r>
          </m:sub>
        </m:sSub>
      </m:oMath>
      <w:r>
        <w:rPr>
          <w:iCs/>
          <w:i/>
        </w:rPr>
        <w:t xml:space="preserve">(FSTS_c × DAI_z) +</w:t>
      </w:r>
      <w:r>
        <w:rPr>
          <w:iCs/>
          <w:i/>
        </w:rPr>
        <w:t xml:space="preserve"> </w:t>
      </w:r>
      <m:oMath>
        <m:sSub>
          <m:e>
            <m:r>
              <m:t>β</m:t>
            </m:r>
          </m:e>
          <m:sub>
            <m:r>
              <m:t>6</m:t>
            </m:r>
          </m:sub>
        </m:sSub>
      </m:oMath>
      <w:r>
        <w:rPr>
          <w:iCs/>
          <w:i/>
        </w:rPr>
        <w:t xml:space="preserve">(</w:t>
      </w:r>
      <m:oMath>
        <m:sSubSup>
          <m:e>
            <m:r>
              <m:rPr>
                <m:nor/>
                <m:sty m:val="p"/>
              </m:rPr>
              <m:t>FSTS</m:t>
            </m:r>
          </m:e>
          <m:sub>
            <m:r>
              <m:t>c</m:t>
            </m:r>
          </m:sub>
          <m:sup>
            <m:r>
              <m:t>2</m:t>
            </m:r>
          </m:sup>
        </m:sSubSup>
      </m:oMath>
      <w:r>
        <w:rPr>
          <w:iCs/>
          <w:i/>
        </w:rPr>
        <w:t xml:space="preserve"> </w:t>
      </w:r>
      <w:r>
        <w:rPr>
          <w:iCs/>
          <w:i/>
        </w:rPr>
        <w:t xml:space="preserve">× DAI_z) + γ, X + δ_s + [λ_t] + ε_it. Đặc tả đầy đủ M0-M8 và bảng định nghĩa biến được trình bày trong bản thảo P3 (Mục 3.2-Mục 3.3) và luận án (Mục 4.5.1). Chuỗi M0-M7 trong Chuyên đề 2 là các mô hình cấp độ pool 47 quốc gia, khác với đặc tả cấp độ quốc gia của P3.</w:t>
      </w:r>
    </w:p>
    <w:p>
      <w:pPr>
        <w:pStyle w:val="BodyText"/>
      </w:pPr>
      <w:r>
        <w:t xml:space="preserve">P4 Singapore (Mar, Đỗ &amp; Phan, 2026, MIR under review): Phân tích 623 doanh nghiệp WBES 2023. Trong nền kinh tế số bão hòa, đường cong I-P chủ yếu dương, điểm uốn hàm ý ở FSTS khoảng 82% (vùng thưa dữ liệu; kiểm định Lind-Mehlum p = 0,303). DAI×</w:t>
      </w:r>
      <m:oMath>
        <m:sSup>
          <m:e>
            <m:r>
              <m:rPr>
                <m:nor/>
                <m:sty m:val="p"/>
              </m:rPr>
              <m:t>FSTS</m:t>
            </m:r>
          </m:e>
          <m:sup>
            <m:r>
              <m:t>2</m:t>
            </m:r>
          </m:sup>
        </m:sSup>
      </m:oMath>
      <w:r>
        <w:t xml:space="preserve"> </w:t>
      </w:r>
      <w:r>
        <w:t xml:space="preserve">=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under review): Phân tích 4.559 doanh nghiệp WBES hai sóng (2012, 2024). Chữ U ngược bền vững cấu trúc, điểm uốn 49,4% (2012), 47,2% (2024), kiểm định Paternoster cho hệ số</w:t>
      </w:r>
      <w:r>
        <w:t xml:space="preserve"> </w:t>
      </w:r>
      <m:oMath>
        <m:sSup>
          <m:e>
            <m:r>
              <m:rPr>
                <m:nor/>
                <m:sty m:val="p"/>
              </m:rPr>
              <m:t>FSTS</m:t>
            </m:r>
          </m:e>
          <m:sup>
            <m:r>
              <m:t>2</m:t>
            </m:r>
          </m:sup>
        </m:sSup>
      </m:oMath>
      <w:r>
        <w:t xml:space="preserve"> </w:t>
      </w:r>
      <w:r>
        <w:t xml:space="preserve">không có sự khác biệt đáng kể (p = 0,545). TCI tăng cường theo thời gian (+0,260 lên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~82%</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~82%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JFAR) là bản thảo tiền thân đã công bố, tìm thấy bậc ba (cubic nonlinearity) trong mẫu SMEs Trung Quốc,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khung-lý-thuyết-tích-hợp-4-tầng"/>
    <w:p>
      <w:pPr>
        <w:pStyle w:val="Heading4"/>
      </w:pPr>
      <w:r>
        <w:t xml:space="preserve">2.3.2 Khung lý thuyết tích hợp 4 tầng</w:t>
      </w:r>
    </w:p>
    <w:bookmarkStart w:id="38"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2c85e26e6ba3228bf003793c40503d5a193d2b2"/>
    <w:p>
      <w:pPr>
        <w:pStyle w:val="Heading5"/>
      </w:pPr>
      <w:r>
        <w:t xml:space="preserve">Tầng 2,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lên +0,426) ủng hộ TCI là nguồn lực VRIN bền vững.</w:t>
      </w:r>
    </w:p>
    <w:bookmarkEnd w:id="39"/>
    <w:bookmarkStart w:id="40"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cơ sở lý thuyết cho khối kiểm soát quản trị nội sinh H4 (kinh nghiệm, học vấn, giới tính nhà quản trị). Để bảo vệ tính nhân quả thuần khiết của tương tác Thể chế × Công nghệ vốn là thông điệp vĩ mô của khung, nghiên cứu khóa chặt các thiên lệch nội sinh phát sinh từ năng lực và sự đa dạng giới của nhà quản trị: kinh nghiệm, học vấn và giới tính nhà quản trị được đưa vào như biến kiểm soát quản trị nội sinh, không phải nhân tố điều tiết trọng tâm. Các đặc điểm này tác động qua hai kênh, chất lượng quyết định (tránh quốc tế hóa sớm) và năng lực điều phối (quản lý phức tạp đa thị trường); việc kiểm soát chúng, thay vì đặt chúng làm trục điều tiết, tránh thiên lệch biến bị bỏ sót (omitted-variable bias) và ngăn hiện tượng</w:t>
      </w:r>
      <w:r>
        <w:t xml:space="preserve"> </w:t>
      </w:r>
      <w:r>
        <w:t xml:space="preserve">“</w:t>
      </w:r>
      <w:r>
        <w:t xml:space="preserve">Kitchen Sink Modeling</w:t>
      </w:r>
      <w:r>
        <w:t xml:space="preserve">”</w:t>
      </w:r>
      <w:r>
        <w:t xml:space="preserve"> </w:t>
      </w:r>
      <w:r>
        <w:t xml:space="preserve">làm loãng thông điệp vĩ mô Institution × Technology. Đặc điểm nhà quản trị vẫn được ước lượng trong các mô hình thực nghiệm, song với tư cách biến kiểm soát.</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Tier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w:t>
      </w:r>
      <m:oMath>
        <m:sSup>
          <m:e>
            <m:r>
              <m:rPr>
                <m:nor/>
                <m:sty m:val="p"/>
              </m:rPr>
              <m:t>FSTS</m:t>
            </m:r>
          </m:e>
          <m:sup>
            <m:r>
              <m:t>2</m:t>
            </m:r>
          </m:sup>
        </m:sSup>
      </m:oMath>
      <w:r>
        <w:t xml:space="preserve"> </w:t>
      </w:r>
      <w:r>
        <w:t xml:space="preserve">=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lên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w:t>
            </w:r>
            <m:oMath>
              <m:sSup>
                <m:e>
                  <m:r>
                    <m:rPr>
                      <m:nor/>
                      <m:sty m:val="p"/>
                    </m:rPr>
                    <m:t>FSTS</m:t>
                  </m:r>
                </m:e>
                <m:sup>
                  <m:r>
                    <m:t>2</m:t>
                  </m:r>
                </m:sup>
              </m:sSup>
            </m:oMath>
            <w:r>
              <w:t xml:space="preserve"> </w:t>
            </w:r>
            <w:r>
              <w:t xml:space="preserve">=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 (kiểm soát quản trị nội sinh, không phải điều tiết trọng tâm)</w:t>
            </w:r>
          </w:p>
        </w:tc>
        <w:tc>
          <w:tcPr/>
          <w:p>
            <w:pPr>
              <w:pStyle w:val="Compact"/>
              <w:jc w:val="left"/>
            </w:pPr>
            <w:r>
              <w:t xml:space="preserve">(đưa vào như kiểm soát nội sinh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gradient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Resource-Based View, Institutional Theory, Upper Echelons Theory và Foundational Digital Adoption Framework,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w:t>
      </w:r>
      <w:r>
        <w:t xml:space="preserve"> </w:t>
      </w:r>
      <m:oMath>
        <m:sSup>
          <m:e>
            <m:r>
              <m:rPr>
                <m:nor/>
                <m:sty m:val="p"/>
              </m:rPr>
              <m:t>FSTS</m:t>
            </m:r>
          </m:e>
          <m:sup>
            <m:r>
              <m:t>2</m:t>
            </m:r>
          </m:sup>
        </m:sSup>
      </m:oMath>
      <w:r>
        <w:t xml:space="preserve">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 trọng tâm</w:t>
      </w:r>
      <w:r>
        <w:t xml:space="preserve"> </w:t>
      </w:r>
      <w:r>
        <w:t xml:space="preserve">cấp doanh nghiệp (TCI, DAI) và cấp quốc gia (ICRV regime, thời gian), và</w:t>
      </w:r>
      <w:r>
        <w:t xml:space="preserve"> </w:t>
      </w:r>
      <w:r>
        <w:rPr>
          <w:bCs/>
          <w:b/>
        </w:rPr>
        <w:t xml:space="preserve">biến kiểm soát</w:t>
      </w:r>
      <w:r>
        <w:t xml:space="preserve"> </w:t>
      </w:r>
      <w:r>
        <w:t xml:space="preserve">gồm khối kiểm soát quản trị nội sinh (kinh nghiệm, học vấn, giới tính nhà quản trị, H4) cùng các kiểm soát chuẩn (quy mô, tuổi, sở hữu nước ngoài, sector FE, country FE, year FE). Đặc điểm nhà quản trị được đưa vào như biến kiểm soát quản trị nội sinh chứ không phải nhân tố điều tiết trọng tâm; lựa chọn này nhằm khóa chặt thiên lệch nội sinh phát sinh từ năng lực và sự đa dạng giới của nhà quản trị, bảo vệ tính nhân quả thuần khiết của tương tác Thể chế × Công nghệ vốn là thông điệp vĩ mô của khung.</w:t>
      </w:r>
    </w:p>
    <w:bookmarkStart w:id="48" w:name="X554d9a38aa5071c54dd41cf832555f814bf88a4"/>
    <w:p>
      <w:pPr>
        <w:pStyle w:val="Heading5"/>
      </w:pPr>
      <w:r>
        <w:t xml:space="preserve">Hình 2.1, Khung khái niệm tích hợp (tổng quan)</w:t>
      </w:r>
    </w:p>
    <w:p>
      <w:pPr>
        <w:pStyle w:val="CaptionedFigure"/>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w:t>
      </w:r>
      <w:r>
        <w:t xml:space="preserve"> </w:t>
      </w:r>
      <m:oMath>
        <m:sSup>
          <m:e>
            <m:r>
              <m:rPr>
                <m:nor/>
                <m:sty m:val="p"/>
              </m:rPr>
              <m:t>FSTS</m:t>
            </m:r>
          </m:e>
          <m:sup>
            <m:r>
              <m:t>2</m:t>
            </m:r>
          </m:sup>
        </m:sSup>
      </m:oMath>
      <w:r>
        <w:t xml:space="preserve">_c,</w:t>
      </w:r>
      <w:r>
        <w:t xml:space="preserve"> </w:t>
      </w:r>
      <m:oMath>
        <m:sSup>
          <m:e>
            <m:r>
              <m:rPr>
                <m:nor/>
                <m:sty m:val="p"/>
              </m:rPr>
              <m:t>FSTS</m:t>
            </m:r>
          </m:e>
          <m:sup>
            <m:r>
              <m:t>3</m:t>
            </m:r>
          </m:sup>
        </m:sSup>
      </m:oMath>
      <w:r>
        <w:t xml:space="preserve">_c) ở cực trái. Sơ đồ phân biệt rõ hai loại nhân tố. Bốn nhân tố điều tiết trọng tâm (focal moderators) nằm trong tầng điều tiết được giả thuyết hóa, phân theo hai cấp: cấp doanh nghiệp (TCI, H2, và DAI, H3) và cấp quốc gia (ICRV regime, H5, và giai đoạn thời gian, H6). Đặc điểm nhà quản trị (kinh nghiệm, học vấn, giới tính, H4) KHÔNG nằm trong tầng điều tiết trọng tâm mà được trình bày cùng nhóm biến kiểm soát quản trị nội sinh, nhằm khóa chặt thiên lệch nội sinh từ năng lực và sự đa dạng giới của nhà quản trị và bảo vệ tính nhân quả thuần khiết của tương tác Thể chế × Công nghệ. Các biến kiểm soát khác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(TCI điều tiết trọng tâm); Foundational Digital Adoption Framework (CDCM) biện minh cho H3 (DAI điều tiết trọng tâm); Institutional Theory biện minh cho H5 (điều tiết trọng tâm); Upper Echelons cung cấp cơ sở cho khối kiểm soát quản trị nội sinh H4. Bằng chứng neo đậu từ P3 Việt Nam, P4 Singapore và P5 Trung Quốc xác nhận tính khả nghiệm trước khi áp dụng cho toàn pool 101.185 doanh nghiệp.</w:t>
      </w:r>
    </w:p>
    <w:bookmarkEnd w:id="48"/>
    <w:bookmarkStart w:id="52" w:name="hình-2.2-cơ-chế-cdcm-chi-tiết"/>
    <w:p>
      <w:pPr>
        <w:pStyle w:val="Heading5"/>
      </w:pPr>
      <w:r>
        <w:t xml:space="preserve">Hình 2.2, Cơ chế CDCM chi tiết</w:t>
      </w:r>
    </w:p>
    <w:p>
      <w:pPr>
        <w:pStyle w:val="CaptionedFigure"/>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regime thể chế và mức bão hòa số của nền kinh tế. Nhóm I (Singapore, Advanced I, bão hòa số cao): DAI Tier-1+2 vận hành như nguồn lực khuếch đại tình huống, tác động chỉ xuất hiện khi cường độ xuất khẩu đạt ngưỡng cao (</w:t>
      </w:r>
      <m:oMath>
        <m:sSup>
          <m:e>
            <m:r>
              <m:rPr>
                <m:nor/>
                <m:sty m:val="p"/>
              </m:rPr>
              <m:t>FSTS</m:t>
            </m:r>
          </m:e>
          <m:sup>
            <m:r>
              <m:t>2</m:t>
            </m:r>
          </m:sup>
        </m:sSup>
      </m:oMath>
      <w:r>
        <w:t xml:space="preserve">×DAI = +3,119; P4). Nhóm IV (Việt Nam,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Upper-Middle/Emerging transition, bão hòa số trung bình): DAI Tier-1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2"/>
    <w:bookmarkStart w:id="53"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oMath>
            <w:r>
              <w:t xml:space="preserve"> </w:t>
            </w:r>
            <w:r>
              <w:t xml:space="preserve">&gt; 0</w:t>
            </w:r>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m:oMath>
              <m:sSub>
                <m:e>
                  <m:r>
                    <m:t>β</m:t>
                  </m:r>
                </m:e>
                <m:sub>
                  <m:r>
                    <m:t>2</m:t>
                  </m:r>
                </m:sub>
              </m:sSub>
            </m:oMath>
            <w:r>
              <w:t xml:space="preserve"> </w:t>
            </w:r>
            <w:r>
              <w:t xml:space="preserve">&lt; 0</w:t>
            </w:r>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m:oMath>
              <m:sSub>
                <m:e>
                  <m:r>
                    <m:t>β</m:t>
                  </m:r>
                </m:e>
                <m:sub>
                  <m:r>
                    <m:t>3</m:t>
                  </m:r>
                </m:sub>
              </m:sSub>
            </m:oMath>
            <w:r>
              <w:t xml:space="preserve"> </w:t>
            </w:r>
            <w:r>
              <w:t xml:space="preserve">&gt;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w:t>
            </w:r>
            <w:r>
              <w:t xml:space="preserve">$3/4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oMath>
            <w:r>
              <w:t xml:space="preserve">×DAI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δ_exp &gt; 0</w:t>
            </w:r>
          </w:p>
        </w:tc>
        <w:tc>
          <w:tcPr/>
          <w:p>
            <w:pPr>
              <w:pStyle w:val="Compact"/>
              <w:jc w:val="left"/>
            </w:pPr>
            <w:r>
              <w:t xml:space="preserve">H4a (kiểm soát quản trị nội sinh)</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δ_educ &gt; 0</w:t>
            </w:r>
          </w:p>
        </w:tc>
        <w:tc>
          <w:tcPr/>
          <w:p>
            <w:pPr>
              <w:pStyle w:val="Compact"/>
              <w:jc w:val="left"/>
            </w:pPr>
            <w:r>
              <w:t xml:space="preserve">H4b (kiểm soát quản trị nội sinh)</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two-sided</w:t>
            </w:r>
          </w:p>
        </w:tc>
        <w:tc>
          <w:tcPr/>
          <w:p>
            <w:pPr>
              <w:pStyle w:val="Compact"/>
              <w:jc w:val="left"/>
            </w:pPr>
            <w:r>
              <w:t xml:space="preserve">H4c (kiểm soát đa dạng giới)</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đến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w:t>
      </w:r>
      <w:r>
        <w:t xml:space="preserve">$3/4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w:t>
      </w:r>
      <w:r>
        <w:t xml:space="preserve"> </w:t>
      </w:r>
      <m:oMath>
        <m:sSup>
          <m:e>
            <m:r>
              <m:rPr>
                <m:nor/>
                <m:sty m:val="p"/>
              </m:rPr>
              <m:t>FSTS</m:t>
            </m:r>
          </m:e>
          <m:sup>
            <m:r>
              <m:t>2</m:t>
            </m:r>
          </m:sup>
        </m:sSup>
      </m:oMath>
      <w:r>
        <w:t xml:space="preserve"> </w:t>
      </w:r>
      <w:r>
        <w:t xml:space="preserve">để giảm đa cộng tuyến.</w:t>
      </w:r>
    </w:p>
    <w:bookmarkEnd w:id="53"/>
    <w:bookmarkEnd w:id="54"/>
    <w:bookmarkStart w:id="63" w:name="hệ-giả-thuyết-nghiên-cứu-h1-h6"/>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các nghiên cứu,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các giả thuyết điều tiết trọng tâm có tính xác nhận (dấu rõ, $</w:t>
      </w:r>
      <w:r>
        <w:t xml:space="preserve">$2 bằng chứng neo đậu từ P3/P4/P5); H6 là hỗn hợp xác nhận/khám phá (hướng rõ nhưng magnitude khám phá). Bốn nhân tố điều tiết trọng tâm của khung là TCI (H2), DAI (H3), chế độ thể chế ICRV (H5), và thời gian (H6). Khác với chúng, H4 (kiểm soát quản trị nội sinh) không còn là giả thuyết điều tiết trọng tâm: đặc điểm nhà quản trị (kinh nghiệm b5, học vấn b7a, giới tính b7) được đưa vào như nhóm biến kiểm soát quản trị nội sinh nhằm khóa chặt thiên lệch nội sinh phát sinh từ năng lực và sự đa dạng giới của nhà quản trị, qua đó bảo vệ tính nhân quả thuần khiết của tương tác Thể chế × Công nghệ. H4 vẫn giữ ký hiệu H4a-H4c để tương thích với các bản thảo đồng hành (P3/P4/P5), song được diễn giải như tập kiểm soát chứ không phải trục điều tiết.</w:t>
      </w:r>
    </w:p>
    <w:bookmarkEnd w:id="55"/>
    <w:bookmarkStart w:id="56" w:name="h1-phi-tuyến-trong-quan-hệ-i-p"/>
    <w:p>
      <w:pPr>
        <w:pStyle w:val="Heading5"/>
      </w:pPr>
      <w:r>
        <w:t xml:space="preserve">H1,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Điều mà chế độ thể chế chi phối một cách có hệ thống là</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các chế độ thể chế yếu và phẳng dần về gần tuyến tính ở chế độ tiên tiến (Nhóm I). Điểm uốn theo nhóm là không đồng nhất (khoảng 16–50% FSTS, cụm quanh ~40%) và không dịch chuyển đơn điệu; ở cấp đơn quốc gia, các neo đậu quan sát được gồm Nhóm III (47-49%) và Nhóm IV (39-46%), còn Nhóm VI có pattern gánh nặng bắt buộc, không có chữ U ngược điển hình. Lưu ý: P4 Singapore (TP ~82%)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~82% (gần trần).</w:t>
      </w:r>
    </w:p>
    <w:p>
      <w:pPr>
        <w:pStyle w:val="BodyText"/>
      </w:pPr>
      <w:r>
        <w:t xml:space="preserve">H1: Quan hệ giữa cường độ quốc tế hóa (FSTS) và hiệu quả doanh nghiệp (ln LP) có dạng phi tuyến, với</w:t>
      </w:r>
      <w:r>
        <w:t xml:space="preserve"> </w:t>
      </w:r>
      <m:oMath>
        <m:sSub>
          <m:e>
            <m:r>
              <m:t>β</m:t>
            </m:r>
          </m:e>
          <m:sub>
            <m:r>
              <m:t>1</m:t>
            </m:r>
          </m:sub>
        </m:sSub>
      </m:oMath>
      <w:r>
        <w:t xml:space="preserve">(FSTS) &gt; 0 và</w:t>
      </w:r>
      <w:r>
        <w:t xml:space="preserve"> </w:t>
      </w:r>
      <m:oMath>
        <m:sSub>
          <m:e>
            <m:r>
              <m:t>β</m:t>
            </m:r>
          </m:e>
          <m:sub>
            <m:r>
              <m:t>2</m:t>
            </m:r>
          </m:sub>
        </m:sSub>
      </m:oMath>
      <w:r>
        <w:t xml:space="preserve">(</w:t>
      </w:r>
      <m:oMath>
        <m:sSup>
          <m:e>
            <m:r>
              <m:rPr>
                <m:nor/>
                <m:sty m:val="p"/>
              </m:rPr>
              <m:t>FSTS</m:t>
            </m:r>
          </m:e>
          <m:sup>
            <m:r>
              <m:t>2</m:t>
            </m:r>
          </m:sup>
        </m:sSup>
      </m:oMath>
      <w:r>
        <w:t xml:space="preserve">) &lt; 0, phản ánh chữ U ngược ở phần lớn các chế độ ICRV.</w:t>
      </w:r>
      <w:r>
        <w:t xml:space="preserve"> </w:t>
      </w:r>
      <w:r>
        <w:rPr>
          <w:bCs/>
          <w:b/>
        </w:rPr>
        <w:t xml:space="preserve">Độ cong (concavity / biên độ)</w:t>
      </w:r>
      <w:r>
        <w:t xml:space="preserve"> </w:t>
      </w:r>
      <w:r>
        <w:t xml:space="preserve">sâu dần theo gradient ICRV khi chất lượng thể chế suy giảm: gần tuyến tính ở Nhóm I và cong sâu hơn ở các nhóm thể chế yếu, với Nhóm VI có pattern gánh nặng bắt buộc (không có điểm uốn). Điểm uốn theo nhóm là không đồng nhất (cụm quanh ~40%) và không dịch chuyển đơn điệu; thể chế càng yếu, hình phạt sau đỉnh cho quốc tế hóa quá mức càng gay gắt.</w:t>
      </w:r>
    </w:p>
    <w:p>
      <w:pPr>
        <w:pStyle w:val="BodyText"/>
      </w:pPr>
      <w:r>
        <w:t xml:space="preserve">H1a (</w:t>
      </w:r>
      <w:r>
        <w:t xml:space="preserve">“</w:t>
      </w:r>
      <w:r>
        <w:t xml:space="preserve">Vách gia nhập</w:t>
      </w:r>
      <w:r>
        <w:t xml:space="preserve">”</w:t>
      </w:r>
      <w:r>
        <w:t xml:space="preserve">, biên tham gia): Bước chuyển rời rạc từ không xuất khẩu (FSTS = 0) sang có xuất khẩu (FSTS &gt; 0) tạo ra một bậc nhảy năng suất lao động dương và đáng kể, đây mới là động lực chính của hiệu ứng I-P. Cơ chế là sự hấp thụ chi phí cố định (fixed-cost absorption): doanh nghiệp vượt được ngưỡng đầu tư ban đầu để tham gia thị trường xuất khẩu (tuân thủ tiêu chuẩn, kênh phân phối, năng lực ngoại thương) sẽ phân bổ chi phí cố định đó lên một nền doanh thu rộng hơn và tự chọn lọc về nhóm doanh nghiệp năng suất cao hơn theo logic Melitz (2003). Phần lớn lợi ích I-P do đó được hiện thực hóa ngay tại biên tham gia, chứ không phải dọc theo biên cường độ.</w:t>
      </w:r>
    </w:p>
    <w:p>
      <w:pPr>
        <w:pStyle w:val="BodyText"/>
      </w:pPr>
      <w:r>
        <w:t xml:space="preserve">H1b (biên cường độ, gần phẳng/gần tuyến tính): Trong mẫu chỉ gồm doanh nghiệp đã xuất khẩu, quỹ đạo I-P gần như phẳng; thành phần bậc hai mất ý nghĩa thống kê. Bằng chứng neo đậu trực tiếp là kết quả within-exporter của P3 Việt Nam, nơi số hạng</w:t>
      </w:r>
      <w:r>
        <w:t xml:space="preserve"> </w:t>
      </w:r>
      <m:oMath>
        <m:sSup>
          <m:e>
            <m:r>
              <m:rPr>
                <m:nor/>
                <m:sty m:val="p"/>
              </m:rPr>
              <m:t>FSTS</m:t>
            </m:r>
          </m:e>
          <m:sup>
            <m:r>
              <m:t>2</m:t>
            </m:r>
          </m:sup>
        </m:sSup>
      </m:oMath>
      <w:r>
        <w:t xml:space="preserve"> </w:t>
      </w:r>
      <w:r>
        <w:t xml:space="preserve">trong mẫu con doanh nghiệp xuất khẩu cho p = 0,660 (không có ý nghĩa), cho thấy độ cong chữ U ngược quan sát ở mẫu đầy đủ chủ yếu được dẫn dắt bởi vách gia nhập H1a chứ không phải bởi sự suy giảm hiệu suất ở cường độ cao trong nội bộ nhóm xuất khẩu. Hệ quả: sau khi đã gia nhập, việc tăng tỉ lệ xuất khẩu tiếp theo chỉ tạo thêm năng suất khi được hậu thuẫn bởi năng lực công nghệ lõi (TCI) hoặc, trong những chế độ phù hợp, bởi năng lực số (DAI); bản thân cường độ xuất khẩu không tự sinh lợi.</w:t>
      </w:r>
    </w:p>
    <w:bookmarkEnd w:id="56"/>
    <w:bookmarkStart w:id="57" w:name="h2-tci-điều-tiết-tích-cực-nâng-mặt-bằng"/>
    <w:p>
      <w:pPr>
        <w:pStyle w:val="Heading5"/>
      </w:pPr>
      <w:r>
        <w:t xml:space="preserve">H2,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lên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f726aff41a886fb83bbce40f5451eaeea259ac9"/>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Sự phân biệt cơ chế giữa TCI và DAI là trục lý thuyết cốt lõi của khung và cần được phát biểu sắc nét. TCI là nguồn lực</w:t>
      </w:r>
      <w:r>
        <w:t xml:space="preserve"> </w:t>
      </w:r>
      <w:r>
        <w:t xml:space="preserve">“</w:t>
      </w:r>
      <w:r>
        <w:t xml:space="preserve">nâng mặt bằng</w:t>
      </w:r>
      <w:r>
        <w:t xml:space="preserve">”</w:t>
      </w:r>
      <w:r>
        <w:t xml:space="preserve"> </w:t>
      </w:r>
      <w:r>
        <w:t xml:space="preserve">(level-shifter) mang tính nhân quả: nội tại, tích lũy theo thời gian, khó bắt chước (VRIN), nó nâng toàn bộ đường cong năng suất một cách đồng nhất qua mọi mức FSTS và mọi chế độ thể chế, đúng như bằng chứng nhân quả từ biến công cụ ở P3 (β_IV = 1,639) và xu hướng tăng cường theo thời gian ở P5. Ngược lại, DAI là nguồn lực</w:t>
      </w:r>
      <w:r>
        <w:t xml:space="preserve"> </w:t>
      </w:r>
      <w:r>
        <w:t xml:space="preserve">“</w:t>
      </w:r>
      <w:r>
        <w:t xml:space="preserve">mở rộng tình huống</w:t>
      </w:r>
      <w:r>
        <w:t xml:space="preserve">”</w:t>
      </w:r>
      <w:r>
        <w:t xml:space="preserve"> </w:t>
      </w:r>
      <w:r>
        <w:t xml:space="preserve">(curve-reshaper / situational), mang tính ngoại tại và phụ thuộc hệ sinh thái số: tác động của nó không cố định mà bật/tắt theo bối cảnh, chỉ phát huy khi nhu cầu điều phối xuyên biên giới đủ dày (FSTS cao, P4 Singapore) hoặc khi nó bù đắp khoảng trống thể chế (chế độ yếu, Lá chắn số). Một cách ngắn gọn: TCI dịch chuyển mặt bằng lợi nhuận, còn DAI mở rộng vùng điều kiện mà ở đó quốc tế hóa vẫn sinh lợi. Coltman và cộng sự (2008) xác nhận hai cấu trúc thỏa mãn tiêu chí tổng hợp formative riêng biệt, củng cố rằng đây là hai nguồn lực phân biệt chứ không phải hai thước đo của cùng một năng lực.</w:t>
      </w:r>
    </w:p>
    <w:p>
      <w:pPr>
        <w:pStyle w:val="BodyText"/>
      </w:pPr>
      <w:r>
        <w:t xml:space="preserve">Bằng chứng neo đậu: P4 Singapore:</w:t>
      </w:r>
      <w:r>
        <w:t xml:space="preserve"> </w:t>
      </w:r>
      <m:oMath>
        <m:sSup>
          <m:e>
            <m:r>
              <m:rPr>
                <m:nor/>
                <m:sty m:val="p"/>
              </m:rPr>
              <m:t>FSTS</m:t>
            </m:r>
          </m:e>
          <m:sup>
            <m:r>
              <m:t>2</m:t>
            </m:r>
          </m:sup>
        </m:sSup>
      </m:oMath>
      <w:r>
        <w:t xml:space="preserve">×DAI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oMath>
            <w:r>
              <w:t xml:space="preserve">×DAI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Nhóm III-V): Trong các nền kinh tế đang nổi và cận biên, DAI điều tiết tích cực quan hệ FSTS-ln(LP): β(FSTS×DAI) &gt; 0 và/hoặc β(</w:t>
      </w:r>
      <m:oMath>
        <m:sSup>
          <m:e>
            <m:r>
              <m:rPr>
                <m:nor/>
                <m:sty m:val="p"/>
              </m:rPr>
              <m:t>FSTS</m:t>
            </m:r>
          </m:e>
          <m:sup>
            <m:r>
              <m:t>2</m:t>
            </m:r>
          </m:sup>
        </m:sSup>
      </m:oMath>
      <w:r>
        <w:t xml:space="preserve">×DAI)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w:t>
      </w:r>
      <m:oMath>
        <m:sSup>
          <m:e>
            <m:r>
              <m:rPr>
                <m:nor/>
                <m:sty m:val="p"/>
              </m:rPr>
              <m:t>FSTS</m:t>
            </m:r>
          </m:e>
          <m:sup>
            <m:r>
              <m:t>2</m:t>
            </m:r>
          </m:sup>
        </m:sSup>
      </m:oMath>
      <w:r>
        <w:t xml:space="preserve">×DAI) vẫn dương ở mức FSTS cao nơi nhu cầu điều phối xuyên biên giới cao (bằng chứng neo đậu: P4 Singapore β(</w:t>
      </w:r>
      <m:oMath>
        <m:sSup>
          <m:e>
            <m:r>
              <m:rPr>
                <m:nor/>
                <m:sty m:val="p"/>
              </m:rPr>
              <m:t>FSTS</m:t>
            </m:r>
          </m:e>
          <m:sup>
            <m:r>
              <m:t>2</m:t>
            </m:r>
          </m:sup>
        </m:sSup>
      </m:oMath>
      <w:r>
        <w:t xml:space="preserve">×DAI) = +3,119, p = 0,005).</w:t>
      </w:r>
    </w:p>
    <w:p>
      <w:pPr>
        <w:pStyle w:val="BodyText"/>
      </w:pPr>
      <w:r>
        <w:t xml:space="preserve">TCI và DAI là hai cấu trúc phân biệt và không thể thay thế nhau trong cả hai sub-hypothesis (CDCM distinctiveness hypothesis, H3c: β(TCI)</w:t>
      </w:r>
      <w:r>
        <w:t xml:space="preserve"> </w:t>
      </w:r>
      <m:oMath>
        <m:r>
          <m:rPr>
            <m:sty m:val="p"/>
          </m:rPr>
          <m:t>≠</m:t>
        </m:r>
      </m:oMath>
      <w:r>
        <w:t xml:space="preserve"> </w:t>
      </w:r>
      <w:r>
        <w:t xml:space="preserve">β(DAI) và hai cấu trúc thỏa mãn tiêu chí discriminant validity).</w:t>
      </w:r>
    </w:p>
    <w:p>
      <w:pPr>
        <w:pStyle w:val="BodyText"/>
      </w:pPr>
      <w:r>
        <w:rPr>
          <w:bCs/>
          <w:b/>
        </w:rPr>
        <w:t xml:space="preserve">H3d (Lá chắn số / Digital Shield, hiệu ứng hai chiều DAI×ICRV):</w:t>
      </w:r>
      <w:r>
        <w:t xml:space="preserve"> </w:t>
      </w:r>
      <w:r>
        <w:t xml:space="preserve">Trên toàn pool, DAI không định hình lại độ cong của đường cong I-P (tương tác ba chiều FSTS×DAI×ICRV β</w:t>
      </w:r>
      <w:r>
        <w:t xml:space="preserve"> </w:t>
      </w:r>
      <m:oMath>
        <m:r>
          <m:rPr>
            <m:sty m:val="p"/>
          </m:rPr>
          <m:t>≈</m:t>
        </m:r>
      </m:oMath>
      <w:r>
        <w:t xml:space="preserve"> </w:t>
      </w:r>
      <w:r>
        <w:t xml:space="preserve">−0,001, không có ý nghĩa, một ranh giới cấu trúc), nhưng vẫn phát huy vai trò bảo vệ năng suất qua tương tác hai chiều với chế độ thể chế: β(DAI×ICRV) có ý nghĩa (p = 0,049, P7), với hiệu ứng mạnh nhất ở các chế độ thể chế yếu. Cơ chế: trong môi trường khoảng trống thể chế, năng lực số nền tảng hạ chi phí giao dịch và mở rộng tiếp cận thị trường ảo, do đó hoạt động như một tấm lá chắn giữ mặt bằng năng suất; trong khi đó, ở các chế độ thể chế mạnh nơi Tier-1 đã bão hòa, lợi thế biên của DAI co lại. Sự đối lập giữa null ba chiều và hiệu ứng hai chiều có ý nghĩa là bằng chứng then chốt cho CDCM: DAI là nguồn lực phụ thuộc bối cảnh, vận hành theo cơ chế bù đắp thể chế chứ không phải đòn bẩy định hình lại đường cong.</w:t>
      </w:r>
    </w:p>
    <w:bookmarkEnd w:id="58"/>
    <w:bookmarkStart w:id="59" w:name="Xee6d8de7996976d1b9ddab7bc4a3affe052579c"/>
    <w:p>
      <w:pPr>
        <w:pStyle w:val="Heading5"/>
      </w:pPr>
      <w:r>
        <w:t xml:space="preserve">H4 (kiểm soát quản trị nội sinh), Đặc điểm nhà quản trị</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Tuy vậy, trong khung CĐ2 các đặc điểm này không được nâng thành trục điều tiết trọng tâm. Để bảo vệ tính nhân quả thuần khiết của tương tác Thể chế × Công nghệ, nghiên cứu khóa chặt các thiên lệch nội sinh phát sinh từ năng lực và sự đa dạng giới của nhà quản trị: kinh nghiệm, học vấn và giới tính nhà quản trị được đưa vào như biến kiểm soát quản trị nội sinh, không phải nhân tố điều tiết trọng tâm. Lựa chọn này có chủ đích về mặt phương pháp. Một mặt, nó tránh</w:t>
      </w:r>
      <w:r>
        <w:t xml:space="preserve"> </w:t>
      </w:r>
      <w:r>
        <w:t xml:space="preserve">“</w:t>
      </w:r>
      <w:r>
        <w:t xml:space="preserve">Kitchen Sink Modeling</w:t>
      </w:r>
      <w:r>
        <w:t xml:space="preserve">”</w:t>
      </w:r>
      <w:r>
        <w:t xml:space="preserve">, tức nhồi thêm một tầng điều tiết cấp vi mô làm loãng thông điệp vĩ mô Institution × Technology. Mặt khác, vì năng lực và sự đa dạng giới của nhà quản trị có thể đồng thời tác động đến quyết định xuất khẩu (FSTS), đến năng lực công nghệ (TCI), và đến năng suất, việc đưa chúng vào tập kiểm soát giúp hấp thụ thiên lệch biến bị bỏ sót và cô lập hiệu ứng nhân quả của tương tác trọng tâm. Trong bối cảnh WBES, ba biến đại diện có sẵn: số năm kinh nghiệm quản lý (b5), trình độ học vấn (b7a), và giới tính nhà quản trị cấp cao (b7).</w:t>
      </w:r>
    </w:p>
    <w:p>
      <w:pPr>
        <w:pStyle w:val="BodyText"/>
      </w:pPr>
      <w:r>
        <w:t xml:space="preserve">Ba thành phần của khối kiểm soát quản trị nội sinh, giữ ký hiệu H4a-H4c để tương thích với các bản thảo đồng hành (P3/P4/P5):</w:t>
      </w:r>
    </w:p>
    <w:p>
      <w:pPr>
        <w:pStyle w:val="BodyText"/>
      </w:pPr>
      <w:r>
        <w:rPr>
          <w:bCs/>
          <w:b/>
        </w:rPr>
        <w:t xml:space="preserve">H4a (kiểm soát)</w:t>
      </w:r>
      <w:r>
        <w:t xml:space="preserve">: Kinh nghiệm quản lý (exp_manager, b5) được kiểm soát với kỳ vọng δ_exp &gt; 0. Nhà quản trị nhiều kinh nghiệm có khả năng nhận diện cơ hội thị trường và tránh bẫy tăng trưởng quá mức; khi không kiểm soát, kinh nghiệm có thể tạo tương quan giả giữa FSTS và năng suất.</w:t>
      </w:r>
    </w:p>
    <w:p>
      <w:pPr>
        <w:pStyle w:val="BodyText"/>
      </w:pPr>
      <w:r>
        <w:rPr>
          <w:bCs/>
          <w:b/>
        </w:rPr>
        <w:t xml:space="preserve">H4b (kiểm soát)</w:t>
      </w:r>
      <w:r>
        <w:t xml:space="preserve">: Học vấn nhà quản trị (educ_manager, b7a), đại diện cho năng lực nhận thức và khả năng tiếp thu kinh nghiệm quốc tế, được kiểm soát với kỳ vọng δ_educ &gt; 0. Nhà quản trị học vấn cao có khung nhận thức rộng hơn để xử lý sự phức tạp thông tin trong quản lý đa thị trường.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 (kiểm soát)</w:t>
      </w:r>
      <w:r>
        <w:t xml:space="preserve">: Giới tính nữ của nhà quản trị cấp cao (gender_manager = 1) được đưa vào như kiểm soát đa dạng giới, không đặt dấu kỳ vọng tiên nghiệm; báo cáo two-sided. Bằng chứng trong các nghiên cứu Upper Echelons không đồng nhất về chiều hướng cho châu Á (Hambrick, 2007).</w:t>
      </w:r>
    </w:p>
    <w:p>
      <w:pPr>
        <w:pStyle w:val="BodyText"/>
      </w:pPr>
      <w:r>
        <w:t xml:space="preserve">Phạm vi: H4a-H4c là biến đại diện (proxy) cho cơ chế Upper Echelons và được vận hành như tập kiểm soát quản trị nội sinh, không phải kiểm định trực tiếp cấu trúc lý thuyết gốc. Các hệ số liên quan được báo cáo nhưng không phải đối tượng diễn giải trọng tâm; hạn chế này được thừa nhận rõ trong phần thảo luận kết quả.</w:t>
      </w:r>
    </w:p>
    <w:bookmarkEnd w:id="59"/>
    <w:bookmarkStart w:id="60" w:name="h5-thể-chế-icrv-điều-tiết-theo-gradient"/>
    <w:p>
      <w:pPr>
        <w:pStyle w:val="Heading5"/>
      </w:pPr>
      <w:r>
        <w:t xml:space="preserve">H5,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độ cong và điểm uốn theo nhóm ICRV (điểm uốn theo nhóm không đồng nhất, cụm quanh ~40% và không dịch chuyển đơn điệu; điều dịch chuyển có hệ thống là độ cong / biên độ):</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Độ cong dự kiến / neo đậu điểm uốn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Độ cong nông nhất, đường cong phẳng/gần tuyến tính (P7 toàn mẫu)</w:t>
            </w:r>
          </w:p>
        </w:tc>
        <w:tc>
          <w:tcPr/>
          <w:p>
            <w:pPr>
              <w:pStyle w:val="Compact"/>
              <w:jc w:val="left"/>
            </w:pPr>
            <w:r>
              <w:t xml:space="preserve">P7 pooled (N=82.302): độ cong nông nhất, gần tuyến tính ở nhóm tiên tiến (điểm uốn cụm quanh ~40%); P4 Singapore TP ~82%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Độ cong trung bình; neo đơn quốc gia ~45-55%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Độ cong trung bình-mạnh; neo đơn quốc gia ~35-46%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Độ cong sâu nhất, hình phạt sau đỉnh gay gắt</w:t>
            </w:r>
          </w:p>
        </w:tc>
        <w:tc>
          <w:tcPr/>
          <w:p>
            <w:pPr>
              <w:pStyle w:val="Compact"/>
              <w:jc w:val="left"/>
            </w:pPr>
            <w:r>
              <w:t xml:space="preserve">Khoảng trống thể chế làm khuếch đại chi phí giao dịch sau đỉnh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đến V; Nhóm VI có pattern gánh nặng bắt buộc.</w:t>
      </w:r>
      <w:r>
        <w:t xml:space="preserve"> </w:t>
      </w:r>
      <w:r>
        <w:rPr>
          <w:bCs/>
          <w:b/>
        </w:rPr>
        <w:t xml:space="preserve">Độ cong (concavity / biên độ)</w:t>
      </w:r>
      <w:r>
        <w:t xml:space="preserve"> </w:t>
      </w:r>
      <w:r>
        <w:t xml:space="preserve">của hình chữ U ngược sâu dần theo gradient khi chất lượng thể chế suy giảm, từ gần tuyến tính ở Nhóm I đến cong sâu ở Nhóm V; điểm uốn theo nhóm không đồng nhất (cụm quanh ~40%) và không dịch chuyển đơn điệu. Thể chế càng yếu, hình phạt sau đỉnh cho quốc tế hóa quá mức càng gay gắt, phản ánh chi phí giao dịch cao và năng lực điều phối hạn chế trong bối cảnh thể chế yếu.</w:t>
      </w:r>
    </w:p>
    <w:bookmarkEnd w:id="60"/>
    <w:bookmarkStart w:id="61"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I-P dịch chuyển đáng kể. P5 Trung Quốc: TCI Paternoster p = 0,011, hiệu ứng TCI tăng cường 2012 đến 2024. P5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w:t>
      </w:r>
      <m:oMath>
        <m:sSup>
          <m:e>
            <m:r>
              <m:rPr>
                <m:nor/>
                <m:sty m:val="p"/>
              </m:rPr>
              <m:t>FSTS</m:t>
            </m:r>
          </m:e>
          <m:sup>
            <m:r>
              <m:t>2</m:t>
            </m:r>
          </m:sup>
        </m:sSup>
      </m:oMath>
      <w:r>
        <w:t xml:space="preserve">×Year_bucket)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lên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oMath>
            <w:r>
              <w:t xml:space="preserve">×DAI</w:t>
            </w:r>
          </w:p>
        </w:tc>
        <w:tc>
          <w:tcPr/>
          <w:p>
            <w:pPr>
              <w:pStyle w:val="Compact"/>
              <w:jc w:val="left"/>
            </w:pPr>
            <w:r>
              <w:t xml:space="preserve">Direct: null/-; cond: β(</w:t>
            </w:r>
            <m:oMath>
              <m:sSup>
                <m:e>
                  <m:r>
                    <m:rPr>
                      <m:nor/>
                      <m:sty m:val="p"/>
                    </m:rPr>
                    <m:t>FSTS</m:t>
                  </m:r>
                </m:e>
                <m:sup>
                  <m:r>
                    <m:t>2</m:t>
                  </m:r>
                </m:sup>
              </m:sSup>
            </m:oMath>
            <w:r>
              <w:t xml:space="preserve">×DAI) &gt; 0 ở FSTS cao</w:t>
            </w:r>
          </w:p>
        </w:tc>
        <w:tc>
          <w:tcPr/>
          <w:p>
            <w:pPr>
              <w:pStyle w:val="Compact"/>
              <w:jc w:val="left"/>
            </w:pPr>
            <w:r>
              <w:t xml:space="preserve">P4 +3,119; bão hòa số</w:t>
            </w:r>
          </w:p>
        </w:tc>
      </w:tr>
      <w:tr>
        <w:tc>
          <w:tcPr/>
          <w:p>
            <w:pPr>
              <w:pStyle w:val="Compact"/>
              <w:jc w:val="left"/>
            </w:pPr>
            <w:r>
              <w:t xml:space="preserve">H4a (kiểm soát)</w:t>
            </w:r>
          </w:p>
        </w:tc>
        <w:tc>
          <w:tcPr/>
          <w:p>
            <w:pPr>
              <w:pStyle w:val="Compact"/>
              <w:jc w:val="left"/>
            </w:pPr>
            <w:r>
              <w:t xml:space="preserve">Kinh nghiệm QL (kiểm soát nội sinh)</w:t>
            </w:r>
          </w:p>
        </w:tc>
        <w:tc>
          <w:tcPr/>
          <w:p>
            <w:pPr>
              <w:pStyle w:val="Compact"/>
              <w:jc w:val="left"/>
            </w:pPr>
            <w:r>
              <w:t xml:space="preserve">Upper Echelons</w:t>
            </w:r>
          </w:p>
        </w:tc>
        <w:tc>
          <w:tcPr/>
          <w:p>
            <w:pPr>
              <w:pStyle w:val="Compact"/>
              <w:jc w:val="left"/>
            </w:pPr>
            <w:r>
              <w:t xml:space="preserve">exp_manager (kiểm soát)</w:t>
            </w:r>
          </w:p>
        </w:tc>
        <w:tc>
          <w:tcPr/>
          <w:p>
            <w:pPr>
              <w:pStyle w:val="Compact"/>
              <w:jc w:val="left"/>
            </w:pPr>
            <w:r>
              <w:t xml:space="preserve">δ_exp &gt; 0; không phải trục điều tiết</w:t>
            </w:r>
          </w:p>
        </w:tc>
        <w:tc>
          <w:tcPr/>
          <w:p>
            <w:pPr>
              <w:pStyle w:val="Compact"/>
              <w:jc w:val="left"/>
            </w:pPr>
            <w:r>
              <w:t xml:space="preserve">(WBES b5)</w:t>
            </w:r>
          </w:p>
        </w:tc>
      </w:tr>
      <w:tr>
        <w:tc>
          <w:tcPr/>
          <w:p>
            <w:pPr>
              <w:pStyle w:val="Compact"/>
              <w:jc w:val="left"/>
            </w:pPr>
            <w:r>
              <w:t xml:space="preserve">H4b (kiểm soát)</w:t>
            </w:r>
          </w:p>
        </w:tc>
        <w:tc>
          <w:tcPr/>
          <w:p>
            <w:pPr>
              <w:pStyle w:val="Compact"/>
              <w:jc w:val="left"/>
            </w:pPr>
            <w:r>
              <w:t xml:space="preserve">Học vấn QL (kiểm soát nội sinh)</w:t>
            </w:r>
          </w:p>
        </w:tc>
        <w:tc>
          <w:tcPr/>
          <w:p>
            <w:pPr>
              <w:pStyle w:val="Compact"/>
              <w:jc w:val="left"/>
            </w:pPr>
            <w:r>
              <w:t xml:space="preserve">Upper Echelons</w:t>
            </w:r>
          </w:p>
        </w:tc>
        <w:tc>
          <w:tcPr/>
          <w:p>
            <w:pPr>
              <w:pStyle w:val="Compact"/>
              <w:jc w:val="left"/>
            </w:pPr>
            <w:r>
              <w:t xml:space="preserve">educ_manager (kiểm soát)</w:t>
            </w:r>
          </w:p>
        </w:tc>
        <w:tc>
          <w:tcPr/>
          <w:p>
            <w:pPr>
              <w:pStyle w:val="Compact"/>
              <w:jc w:val="left"/>
            </w:pPr>
            <w:r>
              <w:t xml:space="preserve">δ_educ &gt; 0; không phải trục điều tiết</w:t>
            </w:r>
          </w:p>
        </w:tc>
        <w:tc>
          <w:tcPr/>
          <w:p>
            <w:pPr>
              <w:pStyle w:val="Compact"/>
              <w:jc w:val="left"/>
            </w:pPr>
            <w:r>
              <w:t xml:space="preserve">(WBES b7a)</w:t>
            </w:r>
          </w:p>
        </w:tc>
      </w:tr>
      <w:tr>
        <w:tc>
          <w:tcPr/>
          <w:p>
            <w:pPr>
              <w:pStyle w:val="Compact"/>
              <w:jc w:val="left"/>
            </w:pPr>
            <w:r>
              <w:t xml:space="preserve">H4c (kiểm soát)</w:t>
            </w:r>
          </w:p>
        </w:tc>
        <w:tc>
          <w:tcPr/>
          <w:p>
            <w:pPr>
              <w:pStyle w:val="Compact"/>
              <w:jc w:val="left"/>
            </w:pPr>
            <w:r>
              <w:t xml:space="preserve">Giới tính QL (kiểm soát đa dạng giới)</w:t>
            </w:r>
          </w:p>
        </w:tc>
        <w:tc>
          <w:tcPr/>
          <w:p>
            <w:pPr>
              <w:pStyle w:val="Compact"/>
              <w:jc w:val="left"/>
            </w:pPr>
            <w:r>
              <w:t xml:space="preserve">Upper Echelons</w:t>
            </w:r>
          </w:p>
        </w:tc>
        <w:tc>
          <w:tcPr/>
          <w:p>
            <w:pPr>
              <w:pStyle w:val="Compact"/>
              <w:jc w:val="left"/>
            </w:pPr>
            <w:r>
              <w:t xml:space="preserve">gender_manager (kiểm soát)</w:t>
            </w:r>
          </w:p>
        </w:tc>
        <w:tc>
          <w:tcPr/>
          <w:p>
            <w:pPr>
              <w:pStyle w:val="Compact"/>
              <w:jc w:val="left"/>
            </w:pPr>
            <w:r>
              <w:t xml:space="preserve">two-sided; không phải trục điều tiết</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 (độ cong)</w:t>
            </w:r>
          </w:p>
        </w:tc>
        <w:tc>
          <w:tcPr/>
          <w:p>
            <w:pPr>
              <w:pStyle w:val="Compact"/>
              <w:jc w:val="left"/>
            </w:pPr>
            <w:r>
              <w:t xml:space="preserve">Institutional Theory</w:t>
            </w:r>
          </w:p>
        </w:tc>
        <w:tc>
          <w:tcPr/>
          <w:p>
            <w:pPr>
              <w:pStyle w:val="Compact"/>
              <w:jc w:val="left"/>
            </w:pPr>
            <w:r>
              <w:t xml:space="preserve">ICRV_j × FSTS, ICRV_j ×</w:t>
            </w:r>
            <w:r>
              <w:t xml:space="preserve"> </w:t>
            </w:r>
            <m:oMath>
              <m:sSup>
                <m:e>
                  <m:r>
                    <m:rPr>
                      <m:nor/>
                      <m:sty m:val="p"/>
                    </m:rPr>
                    <m:t>FSTS</m:t>
                  </m:r>
                </m:e>
                <m:sup>
                  <m:r>
                    <m:t>2</m:t>
                  </m:r>
                </m:sup>
              </m:sSup>
            </m:oMath>
          </w:p>
        </w:tc>
        <w:tc>
          <w:tcPr/>
          <w:p>
            <w:pPr>
              <w:pStyle w:val="Compact"/>
              <w:jc w:val="left"/>
            </w:pPr>
            <w:r>
              <w:t xml:space="preserve">Độ cong sâu dần theo gradient thể chế; điểm uốn không đồng nhất, không dịch chuyển đơn điệu; Nhóm VI gánh nặng bắt buộc</w:t>
            </w:r>
          </w:p>
        </w:tc>
        <w:tc>
          <w:tcPr/>
          <w:p>
            <w:pPr>
              <w:pStyle w:val="Compact"/>
              <w:jc w:val="left"/>
            </w:pPr>
            <w:r>
              <w:t xml:space="preserve">Phân tán LP tăng theo chế độ (CĐ1); P7 M10</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w:t>
            </w:r>
            <w:r>
              <w:t xml:space="preserve"> </w:t>
            </w:r>
            <m:oMath>
              <m:r>
                <m:rPr>
                  <m:sty m:val="p"/>
                </m:rPr>
                <m:t>≠</m:t>
              </m:r>
            </m:oMath>
            <w:r>
              <w:t xml:space="preserve"> </w:t>
            </w:r>
            <w:r>
              <w:t xml:space="preserve">0</w:t>
            </w:r>
          </w:p>
        </w:tc>
        <w:tc>
          <w:tcPr/>
          <w:p>
            <w:pPr>
              <w:pStyle w:val="Compact"/>
              <w:jc w:val="left"/>
            </w:pPr>
            <w:r>
              <w:t xml:space="preserve">P3 Paternoster p &lt; 0,001; P5 TCI p = 0,011</w:t>
            </w:r>
          </w:p>
        </w:tc>
      </w:tr>
    </w:tbl>
    <w:p>
      <w:pPr>
        <w:pStyle w:val="BodyText"/>
      </w:pPr>
      <w:r>
        <w:t xml:space="preserve">Hệ giả thuyết tạo thành cấu trúc logic nhất quán với bốn trục điều tiết trọng tâm và một khối kiểm soát: H1a/H1b (phi tuyến, biên tham gia vs biên cường độ) là quan hệ trọng tâm; H2 (TCI nâng mặt bằng) và H3a/H3b (DAI phụ thuộc regime, với H3c distinctiveness) phân rã cơ chế năng lực doanh nghiệp với dấu kỳ vọng khác nhau theo ngữ cảnh; H5 (ICRV độ cong) là tầng thể chế bao trùm; H6 (Thời gian) là tầng động. Khác với bốn trục điều tiết trọng tâm (TCI, DAI, ICRV, thời gian), H4a-H4c (đặc điểm nhà quản trị) được đưa vào như khối kiểm soát quản trị nội sinh nhằm khóa chặt thiên lệch nội sinh và bảo vệ tính nhân quả thuần khiết của tương tác Thể chế × Công nghệ.</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62"/>
    <w:bookmarkEnd w:id="63"/>
    <w:bookmarkStart w:id="74" w:name="thiết-kế-mô-hình-thực-nghiệm-m0-m7"/>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w:t>
      </w:r>
      <w:r>
        <w:t xml:space="preserve"> </w:t>
      </w:r>
      <m:oMath>
        <m:sSup>
          <m:e>
            <m:r>
              <m:t>R</m:t>
            </m:r>
          </m:e>
          <m:sup>
            <m:r>
              <m:t>2</m:t>
            </m:r>
          </m:sup>
        </m:sSup>
      </m:oMath>
      <w:r>
        <w:t xml:space="preserve"> </w:t>
      </w:r>
      <w:r>
        <w:t xml:space="preserve">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w:t>
      </w:r>
      <w:r>
        <w:t xml:space="preserve"> </w:t>
      </w:r>
      <m:oMath>
        <m:sSup>
          <m:e>
            <m:r>
              <m:rPr>
                <m:nor/>
                <m:sty m:val="p"/>
              </m:rPr>
              <m:t>FSTS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oMath>
      <w:r>
        <w:t xml:space="preserve"> </w:t>
      </w:r>
      <w:r>
        <w:t xml:space="preserve">&gt;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Baseline tuyến tính</w:t>
      </w:r>
    </w:p>
    <w:p>
      <w:pPr>
        <w:pStyle w:val="FirstParagraph"/>
      </w:pPr>
    </w:p>
    <w:p>
      <w:pPr>
        <w:pStyle w:val="BodyText"/>
      </w:pPr>
      <w:r>
        <w:t xml:space="preserve">Mục đích: thiết lập baseline và kiểm tra hướng tác động tuyến tính thuần túy.</w:t>
      </w:r>
      <w:r>
        <w:t xml:space="preserve"> </w:t>
      </w:r>
      <w:r>
        <w:t xml:space="preserve">Kỳ vọng:</w:t>
      </w:r>
      <w:r>
        <w:t xml:space="preserve"> </w:t>
      </w:r>
      <m:oMath>
        <m:sSub>
          <m:e>
            <m:r>
              <m:t>β</m:t>
            </m:r>
          </m:e>
          <m:sub>
            <m:r>
              <m:t>1</m:t>
            </m:r>
          </m:sub>
        </m:sSub>
      </m:oMath>
      <w:r>
        <w:t xml:space="preserve"> </w:t>
      </w:r>
      <w:r>
        <w:t xml:space="preserve">&gt; 0 (tác động dương trung bình của xuất khẩu).</w:t>
      </w:r>
      <w:r>
        <w:t xml:space="preserve"> </w:t>
      </w:r>
      <w:r>
        <w:t xml:space="preserve">Hạn chế: không nắm bắt được phi tuyến tính, cung cấp ước lượng cận dưới cho tác động quốc tế hóa.</w:t>
      </w:r>
    </w:p>
    <w:bookmarkEnd w:id="65"/>
    <w:bookmarkStart w:id="66"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các nghiên cứu.</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w:r>
        <w:t xml:space="preserve">Điểm uốn: TP₁ = −</w:t>
      </w:r>
      <m:oMath>
        <m:sSub>
          <m:e>
            <m:r>
              <m:t>β</m:t>
            </m:r>
          </m:e>
          <m:sub>
            <m:r>
              <m:t>1</m:t>
            </m:r>
          </m:sub>
        </m:sSub>
      </m:oMath>
      <w:r>
        <w:t xml:space="preserve">/(2</w:t>
      </w:r>
      <m:oMath>
        <m:sSub>
          <m:e>
            <m:r>
              <m:t>β</m:t>
            </m:r>
          </m:e>
          <m:sub>
            <m:r>
              <m:t>2</m:t>
            </m:r>
          </m:sub>
        </m:sSub>
      </m:oMath>
      <w:r>
        <w:t xml:space="preserve">),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m:oMath>
        <m:sSub>
          <m:e>
            <m:r>
              <m:t>β</m:t>
            </m:r>
          </m:e>
          <m:sub>
            <m:r>
              <m:t>3</m:t>
            </m:r>
          </m:sub>
        </m:sSub>
      </m:oMath>
      <w:r>
        <w:t xml:space="preserve"> </w:t>
      </w:r>
      <w:r>
        <w:t xml:space="preserve">&gt; 0.</w:t>
      </w:r>
      <w:r>
        <w:t xml:space="preserve"> </w:t>
      </w:r>
      <w:r>
        <w:t xml:space="preserve">Lựa chọn mô hình: so sánh M1 và M2 bằng AIC, BIC, và F-test</w:t>
      </w:r>
      <w:r>
        <w:t xml:space="preserve"> </w:t>
      </w:r>
      <m:oMath>
        <m:sSub>
          <m:e>
            <m:r>
              <m:t>β</m:t>
            </m:r>
          </m:e>
          <m:sub>
            <m:r>
              <m:t>3</m:t>
            </m:r>
          </m:sub>
        </m:sSub>
      </m:oMath>
      <w:r>
        <w:t xml:space="preserve"> </w:t>
      </w:r>
      <w:r>
        <w:t xml:space="preserve">= 0.</w:t>
      </w:r>
    </w:p>
    <w:bookmarkEnd w:id="67"/>
    <w:bookmarkStart w:id="68"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oMath>
      <w:r>
        <w:t xml:space="preserve"> </w:t>
      </w:r>
      <w:r>
        <w:t xml:space="preserve">&gt; 0)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oMath>
      <w:r>
        <w:t xml:space="preserve"> </w:t>
      </w:r>
      <w:r>
        <w:t xml:space="preserve">&gt; 0 (hiệu ứng TCI trực tiếp).</w:t>
      </w:r>
      <w:r>
        <w:t xml:space="preserve"> </w:t>
      </w:r>
      <w:r>
        <w:t xml:space="preserve">Kiểm định: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 = kiểm định joint moderation; nếu p &gt; 0,10 thì TCI là nâng mặt bằng thuần túy.</w:t>
      </w:r>
    </w:p>
    <w:bookmarkEnd w:id="68"/>
    <w:bookmarkStart w:id="69"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oMath>
      <w:r>
        <w:t xml:space="preserve">(</w:t>
      </w:r>
      <m:oMath>
        <m:sSup>
          <m:e>
            <m:r>
              <m:rPr>
                <m:nor/>
                <m:sty m:val="p"/>
              </m:rPr>
              <m:t>FSTS</m:t>
            </m:r>
          </m:e>
          <m:sup>
            <m:r>
              <m:t>2</m:t>
            </m:r>
          </m:sup>
        </m:sSup>
      </m:oMath>
      <w:r>
        <w:t xml:space="preserve">×DAI) &gt; 0 trong Nhóm I (nhất quán P4 Singapore +3,119);</w:t>
      </w:r>
      <w:r>
        <w:t xml:space="preserve"> </w:t>
      </w:r>
      <m:oMath>
        <m:sSub>
          <m:e>
            <m:r>
              <m:t>β</m:t>
            </m:r>
          </m:e>
          <m:sub>
            <m:r>
              <m:t>3</m:t>
            </m:r>
          </m:sub>
        </m:sSub>
      </m:oMath>
      <w:r>
        <w:t xml:space="preserve">(DAI trực tiếp) tiến tới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44a152ad15e7ef43c8f072ef92ee6e82a8e3ee1"/>
    <w:p>
      <w:pPr>
        <w:pStyle w:val="Heading5"/>
      </w:pPr>
      <w:r>
        <w:t xml:space="preserve">M5, + Khối kiểm soát quản trị nội sinh (ước lượng H4a/H4b/H4c như kiểm soát)</w:t>
      </w:r>
    </w:p>
    <w:p>
      <w:pPr>
        <w:pStyle w:val="FirstParagraph"/>
      </w:pPr>
    </w:p>
    <w:p>
      <w:pPr>
        <w:pStyle w:val="BodyText"/>
      </w:pPr>
      <w:r>
        <w:t xml:space="preserve">Mục đích: ước lượng khối kiểm soát quản trị nội sinh để kiểm tra rằng tương tác Thể chế × Công nghệ trọng tâm (M3, M4, M6, M7) vững trước khi và sau khi đưa đặc điểm nhà quản trị vào. Biến Manager gồm: exp_manager (b5, H4a), educ_manager (b7a, H4b), gender_manager (b7, H4c). Trong đặc tả trọng tâm, các biến này được đưa vào ở dạng số hạng chính (kiểm soát mức); số hạng tương tác FSTS×Manager chỉ được báo cáo như chẩn đoán phụ trợ, không phải bằng chứng điều tiết trọng tâm.</w:t>
      </w:r>
      <w:r>
        <w:t xml:space="preserve"> </w:t>
      </w:r>
      <w:r>
        <w:t xml:space="preserve">Kỳ vọng (mức kiểm soát): δ_exp &gt; 0 [H4a]; δ_educ &gt; 0 [H4b]; gender_manager báo cáo two-sided, không có kỳ vọng tiên nghiệm [H4c]. Việc đặc điểm nhà quản trị vào tập kiểm soát chứ không phải trục điều tiết giúp cô lập hiệu ứng nhân quả của tương tác Thể chế × Công nghệ và tránh</w:t>
      </w:r>
      <w:r>
        <w:t xml:space="preserve"> </w:t>
      </w:r>
      <w:r>
        <w:t xml:space="preserve">“</w:t>
      </w:r>
      <w:r>
        <w:t xml:space="preserve">Kitchen Sink Modeling</w:t>
      </w:r>
      <w:r>
        <w:t xml:space="preserve">”</w:t>
      </w:r>
      <w:r>
        <w:t xml:space="preserve">.</w:t>
      </w:r>
    </w:p>
    <w:bookmarkEnd w:id="70"/>
    <w:bookmarkStart w:id="71"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gradient ICRV và gánh nặng bắt buộc (Nhóm VI).</w:t>
      </w:r>
      <w:r>
        <w:t xml:space="preserve"> </w:t>
      </w:r>
      <w:r>
        <w:t xml:space="preserve">Nhóm tham chiếu: Nhóm I (tiên tiến đổi mới).</w:t>
      </w:r>
      <w:r>
        <w:t xml:space="preserve"> </w:t>
      </w:r>
      <w:r>
        <w:t xml:space="preserve">Kỳ vọng: độ cong (concavity / biên độ) sâu dần theo j khi chất lượng thể chế suy giảm, tức</w:t>
      </w:r>
      <w:r>
        <w:t xml:space="preserve"> </w:t>
      </w:r>
      <m:oMath>
        <m:d>
          <m:dPr>
            <m:begChr m:val="|"/>
            <m:endChr m:val="|"/>
            <m:sepChr m:val=""/>
            <m:grow/>
          </m:dPr>
          <m:e>
            <m:sSub>
              <m:e>
                <m:r>
                  <m:t>β</m:t>
                </m:r>
              </m:e>
              <m:sub>
                <m:r>
                  <m:t>2</m:t>
                </m:r>
              </m:sub>
            </m:sSub>
          </m:e>
        </m:d>
      </m:oMath>
      <w:r>
        <w:t xml:space="preserve"> </w:t>
      </w:r>
      <w:r>
        <w:t xml:space="preserve">tăng dần (Nhóm II đến VI), trong khi điểm uốn theo nhóm không dịch chuyển đơn điệu; Nhóm VI có β(FSTS×ICRV_VI)</w:t>
      </w:r>
      <w:r>
        <w:t xml:space="preserve"> </w:t>
      </w:r>
      <m:oMath>
        <m:r>
          <m:rPr>
            <m:sty m:val="p"/>
          </m:rPr>
          <m:t>≤</m:t>
        </m:r>
      </m:oMath>
      <w:r>
        <w:t xml:space="preserve"> </w:t>
      </w:r>
      <w:r>
        <w:t xml:space="preserve">0.</w:t>
      </w:r>
      <w:r>
        <w:t xml:space="preserve"> </w:t>
      </w:r>
      <w:r>
        <w:t xml:space="preserve">Lưu ý: Country FE bị omit trong M6 do ICRV_j là biến cấp quốc gia bất biến theo thời gian, thay bằng Year FE + Region FE (6 vùng).</w:t>
      </w:r>
    </w:p>
    <w:bookmarkEnd w:id="71"/>
    <w:bookmarkStart w:id="72"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w:t>
      </w:r>
      <w:r>
        <w:t xml:space="preserve">$10%),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oMath>
      <w:r>
        <w:t xml:space="preserve">(</w:t>
      </w:r>
      <m:oMath>
        <m:sSup>
          <m:e>
            <m:r>
              <m:rPr>
                <m:nor/>
                <m:sty m:val="p"/>
              </m:rPr>
              <m:t>FSTS</m:t>
            </m:r>
          </m:e>
          <m:sup>
            <m:r>
              <m:t>2</m:t>
            </m:r>
          </m:sup>
        </m:sSup>
      </m:oMath>
      <w:r>
        <w:t xml:space="preserve">×DAI) &gt; 0 trong Nhóm I;</w:t>
      </w:r>
      <w:r>
        <w:t xml:space="preserve"> </w:t>
      </w:r>
      <m:oMath>
        <m:sSub>
          <m:e>
            <m:r>
              <m:t>β</m:t>
            </m:r>
          </m:e>
          <m:sub>
            <m:r>
              <m:t>3</m:t>
            </m:r>
          </m:sub>
        </m:sSub>
      </m:oMath>
      <w:r>
        <w:t xml:space="preserve">(TCI) &gt; 0;</w:t>
      </w:r>
      <w:r>
        <w:t xml:space="preserve"> </w:t>
      </w:r>
      <m:oMath>
        <m:sSub>
          <m:e>
            <m:r>
              <m:t>β</m:t>
            </m:r>
          </m:e>
          <m:sub>
            <m:r>
              <m:t>1</m:t>
            </m:r>
          </m:sub>
        </m:sSub>
      </m:oMath>
      <w:r>
        <w:t xml:space="preserve">₂/</w:t>
      </w:r>
      <m:oMath>
        <m:sSub>
          <m:e>
            <m:r>
              <m:t>β</m:t>
            </m:r>
          </m:e>
          <m:sub>
            <m:r>
              <m:t>1</m:t>
            </m:r>
          </m:sub>
        </m:sSub>
      </m:oMath>
      <w:r>
        <w:t xml:space="preserve">₃</w:t>
      </w:r>
      <w:r>
        <w:t xml:space="preserve"> </w:t>
      </w:r>
      <m:oMath>
        <m:r>
          <m:rPr>
            <m:sty m:val="p"/>
          </m:rPr>
          <m:t>≠</m:t>
        </m:r>
      </m:oMath>
      <w:r>
        <w:t xml:space="preserve"> </w:t>
      </w:r>
      <m:oMath>
        <m:sSub>
          <m:e>
            <m:r>
              <m:t>β</m:t>
            </m:r>
          </m:e>
          <m:sub>
            <m:r>
              <m:t>1</m:t>
            </m:r>
          </m:sub>
        </m:sSub>
      </m:oMath>
      <w:r>
        <w:t xml:space="preserve">₀/</w:t>
      </w:r>
      <m:oMath>
        <m:sSub>
          <m:e>
            <m:r>
              <m:t>β</m:t>
            </m:r>
          </m:e>
          <m:sub>
            <m:r>
              <m:t>1</m:t>
            </m:r>
          </m:sub>
        </m:sSub>
      </m:oMath>
      <w:r>
        <w:t xml:space="preserve">₁ (dịch chuyển thời gian).</w:t>
      </w:r>
      <w:r>
        <w:t xml:space="preserve"> </w:t>
      </w:r>
      <w:r>
        <w:t xml:space="preserve">Yêu cầu mẫu: với k = 13 tham số trọng tâm + controls, n</w:t>
      </w:r>
      <w:r>
        <w:t xml:space="preserve"> </w:t>
      </w:r>
      <m:oMath>
        <m:r>
          <m:rPr>
            <m:sty m:val="p"/>
          </m:rPr>
          <m:t>≥</m:t>
        </m:r>
      </m:oMath>
      <w:r>
        <w:t xml:space="preserve"> </w:t>
      </w:r>
      <w:r>
        <w:t xml:space="preserve">5.000 cần thiết cho power &gt; 0,80 tại</w:t>
      </w:r>
      <w:r>
        <w:t xml:space="preserve"> </w:t>
      </w:r>
      <m:oMath>
        <m:sSup>
          <m:e>
            <m:r>
              <m:t>f</m:t>
            </m:r>
          </m:e>
          <m:sup>
            <m:r>
              <m:t>2</m:t>
            </m:r>
          </m:sup>
        </m:sSup>
      </m:oMath>
      <w:r>
        <w:t xml:space="preserve"> </w:t>
      </w:r>
      <w:r>
        <w:t xml:space="preserve">= 0,02, dễ dàng đáp ứng với pool 101.185.</w:t>
      </w:r>
    </w:p>
    <w:p>
      <w:pPr>
        <w:pStyle w:val="BodyText"/>
      </w:pPr>
      <w:r>
        <w:t xml:space="preserve">Ranh giới cấu trúc của tương tác ba chiều và Lá chắn số hai chiều. Bằng chứng pooled từ P7 (N = 82.302 ở M2 đến 98.658 ở pool, 45 nền kinh tế) cho thấy hai kết quả cần được diễn giải tách bạch, và đây là một trong những thông điệp sắc nét nhất của khung. Thứ nhất, tương tác ba chiều FSTS×DAI×ICRV cho hệ số gần như bằng không và không có ý nghĩa thống kê (β</w:t>
      </w:r>
      <w:r>
        <w:t xml:space="preserve"> </w:t>
      </w:r>
      <m:oMath>
        <m:r>
          <m:rPr>
            <m:sty m:val="p"/>
          </m:rPr>
          <m:t>≈</m:t>
        </m:r>
      </m:oMath>
      <w:r>
        <w:t xml:space="preserve"> </w:t>
      </w:r>
      <w:r>
        <w:t xml:space="preserve">−0,001). Kết quả này không phải lỗi dữ liệu hay điều cần biện hộ, mà là một ranh giới cấu trúc (structural boundary): một website tĩnh ở Tier-1 không đủ sức tái định hình hình dạng của đường cong I-P trong những thị trường có ma sát thể chế cao. Nói cách khác, đây là bằng chứng về sự lỗi thời của công nghệ số bề mặt, công nghệ Tier-1 đã trở thành tiện ích phổ cập (commodity) và mất khả năng làm đòn bẩy chiến lược cho cấu trúc lợi nhuận theo cường độ xuất khẩu. Thứ hai, và quan trọng hơn về mặt lý thuyết, tương tác hai chiều DAI×ICRV,</w:t>
      </w:r>
      <w:r>
        <w:t xml:space="preserve"> </w:t>
      </w:r>
      <w:r>
        <w:t xml:space="preserve">“</w:t>
      </w:r>
      <w:r>
        <w:t xml:space="preserve">Lá chắn số</w:t>
      </w:r>
      <w:r>
        <w:t xml:space="preserve">”</w:t>
      </w:r>
      <w:r>
        <w:t xml:space="preserve"> </w:t>
      </w:r>
      <w:r>
        <w:t xml:space="preserve">(Digital Shield), lại có ý nghĩa (p = 0,049): năng lực số nền tảng phát huy vai trò bảo vệ năng suất mạnh nhất chính ở những chế độ thể chế yếu, nơi nó bù đắp một phần khoảng trống thể chế (institutional voids) bằng cách hạ chi phí giao dịch và mở rộng tiếp cận thị trường ảo. Như vậy, DAI không định hình lại độ cong của đường cong (vai trò ba chiều null) nhưng vẫn nâng và giữ mặt bằng năng suất trong môi trường thể chế bất lợi (vai trò hai chiều có ý nghĩa). Sự đối lập giữa một null ba chiều mang tính ranh giới và một hiệu ứng hai chiều có ý nghĩa là bằng chứng trực tiếp cho luận điểm CDCM rằng DAI là nguồn lực phụ thuộc bối cảnh, không phải đòn bẩy đồng nhất.</w:t>
      </w:r>
    </w:p>
    <w:bookmarkEnd w:id="72"/>
    <w:bookmarkStart w:id="73"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oMath>
            <w:r>
              <w:t xml:space="preserve"> </w:t>
            </w:r>
            <w:r>
              <w:t xml:space="preserve">&gt; 0</w:t>
            </w:r>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oMath>
            <w:r>
              <w:t xml:space="preserve"> </w:t>
            </w:r>
            <w:r>
              <w:t xml:space="preserve">&lt; 0;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(S-curve)</w:t>
            </w:r>
          </w:p>
        </w:tc>
        <w:tc>
          <w:tcPr/>
          <w:p>
            <w:pPr>
              <w:pStyle w:val="Compact"/>
              <w:jc w:val="left"/>
            </w:pPr>
            <m:oMath>
              <m:sSub>
                <m:e>
                  <m:r>
                    <m:t>β</m:t>
                  </m:r>
                </m:e>
                <m:sub>
                  <m:r>
                    <m:t>3</m:t>
                  </m:r>
                </m:sub>
              </m:sSub>
            </m:oMath>
            <w:r>
              <w:t xml:space="preserve"> </w:t>
            </w:r>
            <w:r>
              <w:t xml:space="preserve">&gt; 0; F-test</w:t>
            </w:r>
            <w:r>
              <w:t xml:space="preserve"> </w:t>
            </w:r>
            <m:oMath>
              <m:sSub>
                <m:e>
                  <m:r>
                    <m:t>β</m:t>
                  </m:r>
                </m:e>
                <m:sub>
                  <m:r>
                    <m:t>3</m:t>
                  </m:r>
                </m:sub>
              </m:sSub>
            </m:oMath>
            <w:r>
              <w:t xml:space="preserve"> </w:t>
            </w:r>
            <w:r>
              <w:t xml:space="preserve">= 0</w:t>
            </w:r>
          </w:p>
        </w:tc>
      </w:tr>
      <w:tr>
        <w:tc>
          <w:tcPr/>
          <w:p>
            <w:pPr>
              <w:pStyle w:val="Compact"/>
              <w:jc w:val="left"/>
            </w:pPr>
            <w:r>
              <w:t xml:space="preserve">M3</w:t>
            </w:r>
          </w:p>
        </w:tc>
        <w:tc>
          <w:tcPr/>
          <w:p>
            <w:pPr>
              <w:pStyle w:val="Compact"/>
              <w:jc w:val="left"/>
            </w:pPr>
            <w:r>
              <w:t xml:space="preserve">+ TCI, FSTS×TCI,</w:t>
            </w:r>
            <w:r>
              <w:t xml:space="preserve"> </w:t>
            </w:r>
            <m:oMath>
              <m:sSup>
                <m:e>
                  <m:r>
                    <m:rPr>
                      <m:nor/>
                      <m:sty m:val="p"/>
                    </m:rPr>
                    <m:t>FSTS</m:t>
                  </m:r>
                </m:e>
                <m:sup>
                  <m:r>
                    <m:t>2</m:t>
                  </m:r>
                </m:sup>
              </m:sSup>
            </m:oMath>
            <w:r>
              <w:t xml:space="preserve">×TCI</w:t>
            </w:r>
          </w:p>
        </w:tc>
        <w:tc>
          <w:tcPr/>
          <w:p>
            <w:pPr>
              <w:pStyle w:val="Compact"/>
              <w:jc w:val="left"/>
            </w:pPr>
            <w:r>
              <w:t xml:space="preserve">H2</w:t>
            </w:r>
          </w:p>
        </w:tc>
        <w:tc>
          <w:tcPr/>
          <w:p>
            <w:pPr>
              <w:pStyle w:val="Compact"/>
              <w:jc w:val="left"/>
            </w:pPr>
            <m:oMath>
              <m:sSub>
                <m:e>
                  <m:r>
                    <m:t>β</m:t>
                  </m:r>
                </m:e>
                <m:sub>
                  <m:r>
                    <m:t>3</m:t>
                  </m:r>
                </m:sub>
              </m:sSub>
            </m:oMath>
            <w:r>
              <w:t xml:space="preserve"> </w:t>
            </w:r>
            <w:r>
              <w:t xml:space="preserve">&gt; 0;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w:t>
            </w:r>
          </w:p>
        </w:tc>
      </w:tr>
      <w:tr>
        <w:tc>
          <w:tcPr/>
          <w:p>
            <w:pPr>
              <w:pStyle w:val="Compact"/>
              <w:jc w:val="left"/>
            </w:pPr>
            <w:r>
              <w:t xml:space="preserve">M4</w:t>
            </w:r>
          </w:p>
        </w:tc>
        <w:tc>
          <w:tcPr/>
          <w:p>
            <w:pPr>
              <w:pStyle w:val="Compact"/>
              <w:jc w:val="left"/>
            </w:pPr>
            <w:r>
              <w:t xml:space="preserve">+ DAI, FSTS×DAI,</w:t>
            </w:r>
            <w:r>
              <w:t xml:space="preserve"> </w:t>
            </w:r>
            <m:oMath>
              <m:sSup>
                <m:e>
                  <m:r>
                    <m:rPr>
                      <m:nor/>
                      <m:sty m:val="p"/>
                    </m:rPr>
                    <m:t>FSTS</m:t>
                  </m:r>
                </m:e>
                <m:sup>
                  <m:r>
                    <m:t>2</m:t>
                  </m:r>
                </m:sup>
              </m:sSup>
            </m:oMath>
            <w:r>
              <w:t xml:space="preserve">×DAI</w:t>
            </w:r>
          </w:p>
        </w:tc>
        <w:tc>
          <w:tcPr/>
          <w:p>
            <w:pPr>
              <w:pStyle w:val="Compact"/>
              <w:jc w:val="left"/>
            </w:pPr>
            <w:r>
              <w:t xml:space="preserve">H3a/H3b</w:t>
            </w:r>
          </w:p>
        </w:tc>
        <w:tc>
          <w:tcPr/>
          <w:p>
            <w:pPr>
              <w:pStyle w:val="Compact"/>
              <w:jc w:val="left"/>
            </w:pPr>
            <w:r>
              <w:t xml:space="preserve">H3a: β(FSTS×DAI) &gt; 0 Nhóm III-V; H3b: β(</w:t>
            </w:r>
            <m:oMath>
              <m:sSup>
                <m:e>
                  <m:r>
                    <m:rPr>
                      <m:nor/>
                      <m:sty m:val="p"/>
                    </m:rPr>
                    <m:t>FSTS</m:t>
                  </m:r>
                </m:e>
                <m:sup>
                  <m:r>
                    <m:t>2</m:t>
                  </m:r>
                </m:sup>
              </m:sSup>
            </m:oMath>
            <w:r>
              <w:t xml:space="preserve">×DAI) &gt; 0 ở FSTS cao Nhóm I</w:t>
            </w:r>
          </w:p>
        </w:tc>
      </w:tr>
      <w:tr>
        <w:tc>
          <w:tcPr/>
          <w:p>
            <w:pPr>
              <w:pStyle w:val="Compact"/>
              <w:jc w:val="left"/>
            </w:pPr>
            <w:r>
              <w:t xml:space="preserve">M5</w:t>
            </w:r>
          </w:p>
        </w:tc>
        <w:tc>
          <w:tcPr/>
          <w:p>
            <w:pPr>
              <w:pStyle w:val="Compact"/>
              <w:jc w:val="left"/>
            </w:pPr>
            <w:r>
              <w:t xml:space="preserve">+ Manager (kiểm soát quản trị nội sinh)</w:t>
            </w:r>
          </w:p>
        </w:tc>
        <w:tc>
          <w:tcPr/>
          <w:p>
            <w:pPr>
              <w:pStyle w:val="Compact"/>
              <w:jc w:val="left"/>
            </w:pPr>
            <w:r>
              <w:t xml:space="preserve">H4 (kiểm soát)</w:t>
            </w:r>
          </w:p>
        </w:tc>
        <w:tc>
          <w:tcPr/>
          <w:p>
            <w:pPr>
              <w:pStyle w:val="Compact"/>
              <w:jc w:val="left"/>
            </w:pPr>
            <w:r>
              <w:t xml:space="preserve">δ_exp &gt; 0; δ_educ &gt; 0; gender two-sided; kiểm tra độ vững tương tác trọng tâm, không phải điều tiết trọng tâm</w:t>
            </w:r>
          </w:p>
        </w:tc>
      </w:tr>
      <w:tr>
        <w:tc>
          <w:tcPr/>
          <w:p>
            <w:pPr>
              <w:pStyle w:val="Compact"/>
              <w:jc w:val="left"/>
            </w:pPr>
            <w:r>
              <w:t xml:space="preserve">M6</w:t>
            </w:r>
          </w:p>
        </w:tc>
        <w:tc>
          <w:tcPr/>
          <w:p>
            <w:pPr>
              <w:pStyle w:val="Compact"/>
              <w:jc w:val="left"/>
            </w:pPr>
            <w:r>
              <w:t xml:space="preserve">+ ICRV_j × FSTS, ICRV_j ×</w:t>
            </w:r>
            <w:r>
              <w:t xml:space="preserve"> </w:t>
            </w:r>
            <m:oMath>
              <m:sSup>
                <m:e>
                  <m:r>
                    <m:rPr>
                      <m:nor/>
                      <m:sty m:val="p"/>
                    </m:rPr>
                    <m:t>FSTS</m:t>
                  </m:r>
                </m:e>
                <m:sup>
                  <m:r>
                    <m:t>2</m:t>
                  </m:r>
                </m:sup>
              </m:sSup>
            </m:oMath>
          </w:p>
        </w:tc>
        <w:tc>
          <w:tcPr/>
          <w:p>
            <w:pPr>
              <w:pStyle w:val="Compact"/>
              <w:jc w:val="left"/>
            </w:pPr>
            <w:r>
              <w:t xml:space="preserve">H5</w:t>
            </w:r>
          </w:p>
        </w:tc>
        <w:tc>
          <w:tcPr/>
          <w:p>
            <w:pPr>
              <w:pStyle w:val="Compact"/>
              <w:jc w:val="left"/>
            </w:pPr>
            <w:r>
              <w:t xml:space="preserve">Gradient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dữ-liệu-và-chiến-lược-nhận-dạng-nhân-quả"/>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pct" w:w="5000"/>
        <w:tblLook w:firstRow="1" w:lastRow="0" w:firstColumn="0" w:lastColumn="0" w:noHBand="0" w:noVBand="0" w:val="0020"/>
        <w:jc w:val="start"/>
      </w:tblPr>
      <w:tblGrid>
        <w:gridCol w:w="1177"/>
        <w:gridCol w:w="535"/>
        <w:gridCol w:w="1605"/>
        <w:gridCol w:w="2782"/>
        <w:gridCol w:w="1819"/>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Mục 2.4.3)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75"/>
    <w:bookmarkStart w:id="76"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w:t>
      </w:r>
      <w:r>
        <w:t xml:space="preserve"> </w:t>
      </w:r>
      <m:oMath>
        <m:sSup>
          <m:e>
            <m:r>
              <m:rPr>
                <m:nor/>
                <m:sty m:val="p"/>
              </m:rPr>
              <m:t>FSTS</m:t>
            </m:r>
          </m:e>
          <m:sup>
            <m:r>
              <m:t>2</m:t>
            </m:r>
          </m:sup>
        </m:sSup>
      </m:oMath>
      <w:r>
        <w:t xml:space="preserve">.</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w:t>
      </w:r>
      <w:r>
        <w:t xml:space="preserve">$3/4 items không thiếu (Cronbach α ước tính 0,55-0,65, nhất quán với tổng hợp formative, Coltman et al., 2008).</w:t>
      </w:r>
    </w:p>
    <w:p>
      <w:pPr>
        <w:pStyle w:val="BodyText"/>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47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bắt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P8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w:t>
      </w:r>
      <w:r>
        <w:t xml:space="preserve">$15% trong $</w:t>
      </w:r>
      <w:r>
        <w:t xml:space="preserve">$3 năm liên tiếp,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w:t>
      </w:r>
      <w:r>
        <w:t xml:space="preserve"> </w:t>
      </w:r>
      <m:oMath>
        <m:r>
          <m:rPr>
            <m:sty m:val="p"/>
          </m:rPr>
          <m:t>≥</m:t>
        </m:r>
      </m:oMath>
      <w:r>
        <w:t xml:space="preserve"> </w:t>
      </w:r>
      <w:r>
        <w:t xml:space="preserve">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w:t>
      </w:r>
      <w:r>
        <w:t xml:space="preserve"> </w:t>
      </w:r>
      <m:oMath>
        <m:sSub>
          <m:e>
            <m:r>
              <m:t>β</m:t>
            </m:r>
          </m:e>
          <m:sub>
            <m:r>
              <m:t>1</m:t>
            </m:r>
          </m:sub>
        </m:sSub>
      </m:oMath>
      <w:r>
        <w:t xml:space="preserve"> </w:t>
      </w:r>
      <w:r>
        <w:t xml:space="preserve">&gt; 0 và</w:t>
      </w:r>
      <w:r>
        <w:t xml:space="preserve"> </w:t>
      </w:r>
      <m:oMath>
        <m:sSub>
          <m:e>
            <m:r>
              <m:t>β</m:t>
            </m:r>
          </m:e>
          <m:sub>
            <m:r>
              <m:t>2</m:t>
            </m:r>
          </m:sub>
        </m:sSub>
      </m:oMath>
      <w:r>
        <w:t xml:space="preserve"> </w:t>
      </w:r>
      <w:r>
        <w:t xml:space="preserve">&lt; 0; tính TP = −</w:t>
      </w:r>
      <m:oMath>
        <m:sSub>
          <m:e>
            <m:r>
              <m:t>β</m:t>
            </m:r>
          </m:e>
          <m:sub>
            <m:r>
              <m:t>1</m:t>
            </m:r>
          </m:sub>
        </m:sSub>
      </m:oMath>
      <w:r>
        <w:t xml:space="preserve">/(2</w:t>
      </w:r>
      <m:oMath>
        <m:sSub>
          <m:e>
            <m:r>
              <m:t>β</m:t>
            </m:r>
          </m:e>
          <m:sub>
            <m:r>
              <m:t>2</m:t>
            </m:r>
          </m:sub>
        </m:sSub>
      </m:oMath>
      <w:r>
        <w:t xml:space="preserve">) và 95% CI bằng delta method; kiểm định H₀: độ dốc tại min(FSTS)</w:t>
      </w:r>
      <w:r>
        <w:t xml:space="preserve"> </w:t>
      </w:r>
      <m:oMath>
        <m:r>
          <m:rPr>
            <m:sty m:val="p"/>
          </m:rPr>
          <m:t>≤</m:t>
        </m:r>
      </m:oMath>
      <w:r>
        <w:t xml:space="preserve"> </w:t>
      </w:r>
      <w:r>
        <w:t xml:space="preserve">0 HOẶC độ dốc tại max(FSTS)</w:t>
      </w:r>
      <w:r>
        <w:t xml:space="preserve"> </w:t>
      </w:r>
      <m:oMath>
        <m:r>
          <m:rPr>
            <m:sty m:val="p"/>
          </m:rPr>
          <m:t>≥</m:t>
        </m:r>
      </m:oMath>
      <w:r>
        <w:t xml:space="preserve"> </w:t>
      </w:r>
      <w:r>
        <w:t xml:space="preserve">0, bác bỏ H₀, kết luận có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w:t>
      </w:r>
      <w:r>
        <w:t xml:space="preserve"> </w:t>
      </w:r>
      <m:oMath>
        <m:sSup>
          <m:e>
            <m:r>
              <m:rPr>
                <m:nor/>
                <m:sty m:val="p"/>
              </m:rPr>
              <m:t>FSTS</m:t>
            </m:r>
          </m:e>
          <m:sup>
            <m:r>
              <m:t>2</m:t>
            </m:r>
          </m:sup>
        </m:sSup>
      </m:oMath>
      <w:r>
        <w:t xml:space="preserve"> </w:t>
      </w:r>
      <w:r>
        <w:t xml:space="preserve">giữa Year_bucket cho H6.</w:t>
      </w:r>
    </w:p>
    <w:p>
      <w:pPr>
        <w:pStyle w:val="BodyText"/>
      </w:pPr>
      <w:r>
        <w:t xml:space="preserve">LOWESS phi tham số: smoother cục bộ (bandwidth = 0,4) vẽ ln(LP) ~ FSTS, nếu hình dạng visual nhất quán với chữ U ngược, đây là bằng chứng xác nhận không phụ thuộc giả định phân phối.</w:t>
      </w:r>
    </w:p>
    <w:p>
      <w:pPr>
        <w:pStyle w:val="BodyText"/>
      </w:pPr>
      <w:r>
        <w:t xml:space="preserve">Tầng 4, Nhân rộng mẫu con: Pool đủ lớn (101.185) cho phép chạy M0-M7 riêng cho từng nhóm ICRV (Nhóm I: ~6.500; Nhóm IV: ~28.000) để kiểm định tính không đồng nhất.</w:t>
      </w:r>
    </w:p>
    <w:bookmarkEnd w:id="78"/>
    <w:bookmarkEnd w:id="79"/>
    <w:bookmarkStart w:id="80"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thành ROS; (b) Biến độc lập thành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không tìm thấy phi tuyến; (b) Thay TCI bằng nhiễu,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w:t>
      </w:r>
      <w:r>
        <w:t xml:space="preserve"> </w:t>
      </w:r>
      <m:oMath>
        <m:sSub>
          <m:e>
            <m:r>
              <m:t>β</m:t>
            </m:r>
          </m:e>
          <m:sub>
            <m:r>
              <m:t>1</m:t>
            </m:r>
          </m:sub>
        </m:sSub>
      </m:oMath>
      <w:r>
        <w:t xml:space="preserve">(FSTS) trong khoảng [0,1; 3,0];</w:t>
      </w:r>
      <w:r>
        <w:t xml:space="preserve"> </w:t>
      </w:r>
      <m:oMath>
        <m:sSub>
          <m:e>
            <m:r>
              <m:t>β</m:t>
            </m:r>
          </m:e>
          <m:sub>
            <m:r>
              <m:t>2</m:t>
            </m:r>
          </m:sub>
        </m:sSub>
      </m:oMath>
      <w:r>
        <w:t xml:space="preserve">(</w:t>
      </w:r>
      <m:oMath>
        <m:sSup>
          <m:e>
            <m:r>
              <m:rPr>
                <m:nor/>
                <m:sty m:val="p"/>
              </m:rPr>
              <m:t>FSTS</m:t>
            </m:r>
          </m:e>
          <m:sup>
            <m:r>
              <m:t>2</m:t>
            </m:r>
          </m:sup>
        </m:sSup>
      </m:oMath>
      <w:r>
        <w:t xml:space="preserve">) trong khoảng [−2,5; −0,1]; điểm uốn trong khoảng [20%; 90%]; β(TCI) trong khoảng [0,05; 0,5]; β(</w:t>
      </w:r>
      <m:oMath>
        <m:sSup>
          <m:e>
            <m:r>
              <m:rPr>
                <m:nor/>
                <m:sty m:val="p"/>
              </m:rPr>
              <m:t>FSTS</m:t>
            </m:r>
          </m:e>
          <m:sup>
            <m:r>
              <m:t>2</m:t>
            </m:r>
          </m:sup>
        </m:sSup>
      </m:oMath>
      <w:r>
        <w:t xml:space="preserve">×DAI) Nhóm I trong khoảng [0,5; 6,0].</w:t>
      </w:r>
    </w:p>
    <w:p>
      <w:pPr>
        <w:pStyle w:val="BodyText"/>
      </w:pPr>
      <w:r>
        <w:t xml:space="preserve">Quy trình báo cáo: nếu $</w:t>
      </w:r>
      <w:r>
        <w:t xml:space="preserve">$4/6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bookmarkEnd w:id="80"/>
    <w:bookmarkStart w:id="84" w:name="Xa7a3e024942ac139f282b38617464477c22cff4"/>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các nghiên cứu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các nghiên cứu.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I-P khác nhau do nguồn lực dẫn dắt khác nhau.</w:t>
      </w:r>
    </w:p>
    <w:p>
      <w:pPr>
        <w:pStyle w:val="BodyText"/>
      </w:pPr>
      <w:r>
        <w:t xml:space="preserve">Đóng góp 4: Giả thuyết gánh nặng bắt buộc trong khung I-P. Dạng hàm forced penalty (SIDS Nhóm VI) được tích hợp vào H5 như trường hợp cực đoan của gradient thể chế, SIDS không có chữ U ngược điển hình do quốc tế hóa bắt buộc (Briguglio, 1995). Tích hợp này mở rộng dòng nghiên cứu về quan hệ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và một ranh giới cấu trúc có giá trị lý thuyết. Chuỗi mô hình lồng nhau cho phép kiểm định từng cơ chế riêng biệt trước khi tích hợp. M7 là mô hình đầu tiên trong các nghiên cứu châu Á kiểm định đồng thời I×TCI×DAI điều tiết ba chiều kết hợp với tính không đồng nhất thời gian. Đáng chú ý, kết quả pooled (P7) cho thấy tương tác ba chiều FSTS×DAI×ICRV là null (β</w:t>
      </w:r>
      <w:r>
        <w:t xml:space="preserve"> </w:t>
      </w:r>
      <m:oMath>
        <m:r>
          <m:rPr>
            <m:sty m:val="p"/>
          </m:rPr>
          <m:t>≈</m:t>
        </m:r>
      </m:oMath>
      <w:r>
        <w:t xml:space="preserve"> </w:t>
      </w:r>
      <w:r>
        <w:t xml:space="preserve">−0,001), trong khi tương tác hai chiều DAI×ICRV (Lá chắn số) lại có ý nghĩa (p = 0,049). Đây không phải khiếm khuyết của thiết kế mà là một đóng góp định vị ranh giới: số hóa bề mặt Tier-1 không định hình lại độ cong đường cong I-P (bằng chứng về sự lỗi thời của công nghệ số bề mặt), nhưng năng lực số vẫn bảo vệ mặt bằng năng suất ở chế độ thể chế yếu. Khung do đó làm rõ ranh giới hiệu lực của DAI thay vì khuếch đại quá mức vai trò của nó.</w:t>
      </w:r>
    </w:p>
    <w:p>
      <w:pPr>
        <w:pStyle w:val="BodyText"/>
      </w:pPr>
      <w:r>
        <w:t xml:space="preserve">Đóng góp 6: Pool 101.185 doanh nghiệp,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các nghiên cứu về quan hệ I-P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w:t>
      </w:r>
      <m:oMath>
        <m:sSup>
          <m:e>
            <m:r>
              <m:rPr>
                <m:nor/>
                <m:sty m:val="p"/>
              </m:rPr>
              <m:t>FSTS</m:t>
            </m:r>
          </m:e>
          <m:sup>
            <m:r>
              <m:t>2</m:t>
            </m:r>
          </m:sup>
        </m:sSup>
      </m:oMath>
      <w:r>
        <w:t xml:space="preserve"> </w:t>
      </w:r>
      <w:r>
        <w:t xml:space="preserve">=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90"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RBV, Institutional Theory, Upper Echelons, Foundational Digital Adoption Framework, vào tám mô hình thực nghiệm M0-M7 có thể kiểm định trên pool 101.185 doanh nghiệp WBES xuyên 47 nền kinh tế và 108 cặp quốc gia-năm. Hệ giả thuyết H1-H6 được phát triển có neo đậu thực nghiệm từ ba bản thảo đồng hành (P3 Việt Nam, P4 Singapore, P5 Trung Quốc),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độ cong (concavity / biên độ) sâu dần khi chất lượng thể chế suy giảm, điểm uốn theo nhóm không đồng nhất (cụm quanh ~40%) và không dịch chuyển đơn điệu; H2 (TCI nâng mặt bằng) TCI dương bền vững và nhân quả; H3a (DAI Emerging/Frontier) khám phá; H3b (DAI Advanced) β(</w:t>
      </w:r>
      <m:oMath>
        <m:sSup>
          <m:e>
            <m:r>
              <m:rPr>
                <m:nor/>
                <m:sty m:val="p"/>
              </m:rPr>
              <m:t>FSTS</m:t>
            </m:r>
          </m:e>
          <m:sup>
            <m:r>
              <m:t>2</m:t>
            </m:r>
          </m:sup>
        </m:sSup>
      </m:oMath>
      <w:r>
        <w:t xml:space="preserve">×DAI) dương trong Nhóm I (P4 xác nhận), null/phụ thuộc chọn lựa trong Nhóm IV (P3 IV null); H4 (kiểm soát quản trị nội sinh) đặc điểm nhà quản trị được ước lượng như nhóm biến kiểm soát quản trị nội sinh, không phải nhân tố điều tiết trọng tâm; H5 (ICRV) độ cong sâu dần theo gradient thể chế từ Nhóm I đến Nhóm V, Nhóm VI gánh nặng bắt buộc, củng cố bởi Lá chắn số DAI×ICRV (p = 0,049); H6 (Thời gian) DAI dịch chuyển 2009 đến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Xfec09e3154c2a245e7c18bb44949217926836d0"/>
    <w:p>
      <w:pPr>
        <w:pStyle w:val="Heading4"/>
      </w:pPr>
      <w:r>
        <w:t xml:space="preserve">2.4.2 Hàm ý quản trị: lộ trình chiến lược ba giai đoạn</w:t>
      </w:r>
    </w:p>
    <w:p>
      <w:pPr>
        <w:pStyle w:val="FirstParagraph"/>
      </w:pPr>
      <w:r>
        <w:t xml:space="preserve">Trước khi diễn giải thành lộ trình hành động, cần đặt ngay một rủi ro vĩ mô lên đầu bàn nghị sự. Điểm uốn toàn mẫu châu Á</w:t>
      </w:r>
      <w:r>
        <w:t xml:space="preserve"> </w:t>
      </w:r>
      <m:oMath>
        <m:r>
          <m:rPr>
            <m:sty m:val="p"/>
          </m:rPr>
          <m:t>≈</m:t>
        </m:r>
      </m:oMath>
      <w:r>
        <w:t xml:space="preserve"> </w:t>
      </w:r>
      <w:r>
        <w:t xml:space="preserve">37% không phải một cột mốc trung lập mà là một cái bẫy tiềm tàng: dưới các cú sốc thể chế hoặc đứt gãy chuỗi cung ứng (chiến tranh thương mại, đại dịch, tái cấu hình nguồn cung), vùng quanh ngưỡng ~37% là nơi hình phạt sau đỉnh trở nên gay gắt nhất ở các chế độ thể chế yếu, và là nơi doanh nghiệp dễ mắc kẹt nhất khi đã đổ vốn theo cường độ nhưng chưa kịp xây năng lực lõi. Phản bác lại hoài nghi rằng ngưỡng này quá cứng nhắc: Trung Quốc duy trì một ngưỡng bền bỉ ~48% doanh thu xuất khẩu xuyên suốt cả chiến tranh thương mại lẫn đại dịch (điểm uốn 49,4% năm 2012 và 47,2% năm 2024, Paternoster p = 0,545), cho thấy ngưỡng không phải con số ngẫu nhiên mà là một thuộc tính cấu trúc bền vững của chế độ thể chế, có thể cao và ổn định khi năng lực thể chế và năng lực doanh nghiệp đủ mạnh. Điều này biến điểm uốn thành công cụ hoạch định thực sự, không phải hiện vật thống kê.</w:t>
      </w:r>
    </w:p>
    <w:p>
      <w:pPr>
        <w:pStyle w:val="BodyText"/>
      </w:pPr>
      <w:r>
        <w:t xml:space="preserve">Từ bằng chứng neo đậu, các hệ số được chuyển dịch thành một lộ trình chiến lược ba giai đoạn trên trục doanh thu xuất khẩu, áp dụng trực tiếp cho doanh nghiệp Việt Nam và emerging Asia:</w:t>
      </w:r>
    </w:p>
    <w:p>
      <w:pPr>
        <w:pStyle w:val="BodyText"/>
      </w:pPr>
      <w:r>
        <w:rPr>
          <w:bCs/>
          <w:b/>
        </w:rPr>
        <w:t xml:space="preserve">Giai đoạn 1, Vượt rào cản gia nhập (từ 0 đến FSTS dương, hấp thụ chi phí cố định).</w:t>
      </w:r>
      <w:r>
        <w:t xml:space="preserve"> </w:t>
      </w:r>
      <w:r>
        <w:t xml:space="preserve">Hành động chiến lược trọng tâm là vượt qua</w:t>
      </w:r>
      <w:r>
        <w:t xml:space="preserve"> </w:t>
      </w:r>
      <w:r>
        <w:t xml:space="preserve">“</w:t>
      </w:r>
      <w:r>
        <w:t xml:space="preserve">Vách gia nhập</w:t>
      </w:r>
      <w:r>
        <w:t xml:space="preserve">”</w:t>
      </w:r>
      <w:r>
        <w:t xml:space="preserve"> </w:t>
      </w:r>
      <w:r>
        <w:t xml:space="preserve">(H1a): chuyển từ không xuất khẩu sang có xuất khẩu mới là bậc nhảy năng suất lớn nhất, không phải việc tăng dần tỉ lệ. Doanh nghiệp nên dồn nguồn lực để hấp thụ trọn gói chi phí cố định một lần (đạt chứng nhận tiêu chuẩn quốc tế, thiết lập kênh phân phối, năng lực ngoại thương cơ bản) thay vì rải vốn theo cường độ. Tại giai đoạn này, một website Tier-1 và hạ tầng số cơ bản là điều kiện cần để hiện diện, nhưng không phải đòn bẩy lợi nhuận.</w:t>
      </w:r>
    </w:p>
    <w:p>
      <w:pPr>
        <w:pStyle w:val="BodyText"/>
      </w:pPr>
      <w:r>
        <w:rPr>
          <w:bCs/>
          <w:b/>
        </w:rPr>
        <w:t xml:space="preserve">Giai đoạn 2, Tích lũy năng lực công nghệ lõi (vùng ~30-46% doanh thu xuất khẩu).</w:t>
      </w:r>
      <w:r>
        <w:t xml:space="preserve"> </w:t>
      </w:r>
      <w:r>
        <w:t xml:space="preserve">Đây là vùng nguy hiểm bao quanh điểm uốn ~37% (và ~39-46% với Việt Nam). Khi doanh nghiệp đạt khoảng 40% doanh thu xuất khẩu, độ phức tạp vận hành đa thị trường dựng lên một bức tường vô hình: đổ thêm vốn vào website hoặc cường độ xuất khẩu thuần túy lúc này cho biên lợi nhuận âm. Chỉ năng lực công nghệ lõi thực chất (R&amp;D, ISO, công nghệ nước ngoài có bản quyền, chính là TCI nhân quả với β_IV = 1,639 ở P3) hoặc sự bảo chứng quốc tế mới phá được bức tường đó và nâng mặt bằng năng suất một cách bền vững. Thông điệp ưu tiên rõ ràng: đầu tư TCI trước, DAI sau, vì chỉ TCI là nhân quả còn DAI dương trong OLS phản ánh phụ thuộc chọn lựa (P3 IV null, β = 0,018).</w:t>
      </w:r>
    </w:p>
    <w:p>
      <w:pPr>
        <w:pStyle w:val="BodyText"/>
      </w:pPr>
      <w:r>
        <w:rPr>
          <w:bCs/>
          <w:b/>
        </w:rPr>
        <w:t xml:space="preserve">Giai đoạn 3, Tích hợp số hóa chiều sâu (sau khi đã có năng lực lõi và cường độ cao).</w:t>
      </w:r>
      <w:r>
        <w:t xml:space="preserve"> </w:t>
      </w:r>
      <w:r>
        <w:t xml:space="preserve">Số hóa chỉ trở thành đòn bẩy mở rộng khi doanh nghiệp đã ở mức FSTS cao và hoạt động trong môi trường thể chế phù hợp, đúng như Singapore với DAI×</w:t>
      </w:r>
      <m:oMath>
        <m:sSup>
          <m:e>
            <m:r>
              <m:rPr>
                <m:nor/>
                <m:sty m:val="p"/>
              </m:rPr>
              <m:t>FSTS</m:t>
            </m:r>
          </m:e>
          <m:sup>
            <m:r>
              <m:t>2</m:t>
            </m:r>
          </m:sup>
        </m:sSup>
      </m:oMath>
      <w:r>
        <w:t xml:space="preserve"> </w:t>
      </w:r>
      <w:r>
        <w:t xml:space="preserve">= +3,119 ở vùng FSTS cao tiệm cận ~82%. Lưu ý chiến lược quan trọng từ ranh giới cấu trúc: số hóa bề mặt Tier-1 (website tĩnh) đã lỗi thời như đòn bẩy chiến lược (tương tác ba chiều FSTS×DAI×ICRV β</w:t>
      </w:r>
      <w:r>
        <w:t xml:space="preserve"> </w:t>
      </w:r>
      <m:oMath>
        <m:r>
          <m:rPr>
            <m:sty m:val="p"/>
          </m:rPr>
          <m:t>≈</m:t>
        </m:r>
      </m:oMath>
      <w:r>
        <w:t xml:space="preserve"> </w:t>
      </w:r>
      <w:r>
        <w:t xml:space="preserve">−0,001, không có ý nghĩa); giá trị nằm ở tích hợp số chiều sâu, không phải ở sự hiện diện số tối thiểu. Ở những chế độ thể chế yếu, vai trò hữu ích nhất của năng lực số là</w:t>
      </w:r>
      <w:r>
        <w:t xml:space="preserve"> </w:t>
      </w:r>
      <w:r>
        <w:t xml:space="preserve">“</w:t>
      </w:r>
      <w:r>
        <w:t xml:space="preserve">Lá chắn số</w:t>
      </w:r>
      <w:r>
        <w:t xml:space="preserve">”</w:t>
      </w:r>
      <w:r>
        <w:t xml:space="preserve"> </w:t>
      </w:r>
      <w:r>
        <w:t xml:space="preserve">(Digital Shield, DAI×ICRV p = 0,049): bù đắp khoảng trống thể chế để giữ mặt bằng năng suất, chứ không phải để tái định hình đường cong lợi nhuận.</w:t>
      </w:r>
    </w:p>
    <w:bookmarkEnd w:id="87"/>
    <w:bookmarkStart w:id="88" w:name="hạn-chế-nghiên-cứu"/>
    <w:p>
      <w:pPr>
        <w:pStyle w:val="Heading4"/>
      </w:pPr>
      <w:r>
        <w:t xml:space="preserve">2.4.3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tích hợp ERP, triển khai AI,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panel meta-analysis; Borenstein et al. (2021), Bayesian meta-regression với thông tin tiền nghiệm. Về mở rộng bậc số hóa: Verhoef et al. (2021), phân cấp Tier 1-4. Về mở rộng quốc tế hóa đa chiều: Contractor et al. (2003); Sullivan (1994) về DOI composite.</w:t>
      </w:r>
    </w:p>
    <w:p>
      <w:r>
        <w:pict>
          <v:rect style="width:0;height:1.5pt" o:hralign="center" o:hrstd="t" o:hr="t"/>
        </w:pict>
      </w:r>
    </w:p>
    <w:bookmarkEnd w:id="88"/>
    <w:bookmarkStart w:id="89" w:name="hướng-nghiên-cứu-tiếp-theo"/>
    <w:p>
      <w:pPr>
        <w:pStyle w:val="Heading4"/>
      </w:pPr>
      <w:r>
        <w:t xml:space="preserve">2.4.4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under review):</w:t>
      </w:r>
      <w:r>
        <w:t xml:space="preserve"> </w:t>
      </w:r>
      <w:r>
        <w:t xml:space="preserve">Bản thảo P6 đã hoàn thành, mở rộng ICBEF 2025 baseline (Đỗ &amp; Phan, 2024, k=113) lên</w:t>
      </w:r>
      <w:r>
        <w:t xml:space="preserve"> </w:t>
      </w:r>
      <w:r>
        <w:rPr>
          <w:bCs/>
          <w:b/>
        </w:rPr>
        <w:t xml:space="preserve">k=238</w:t>
      </w:r>
      <w:r>
        <w:t xml:space="preserve"> </w:t>
      </w:r>
      <w:r>
        <w:t xml:space="preserve">(K=288 effect sizes, 45 nền kinh tế) với hệ thống tìm kiếm PRISMA 2020 trên Web of Science + Scopus (1977-2026). Ba biến điều tiết mới: (i) cDAI, mức độ số hóa cấp quốc gia; (ii) ICRV 6 nhóm; (iii) DPL phase. Kết quả MARA xác nhận: pooled</w:t>
      </w:r>
      <w:r>
        <w:t xml:space="preserve"> </w:t>
      </w:r>
      <w:r>
        <w:rPr>
          <w:iCs/>
          <w:i/>
        </w:rPr>
        <w:t xml:space="preserve">r</w:t>
      </w:r>
      <w:r>
        <w:t xml:space="preserve">=0,074 (CI [0,060; 0,088]),</w:t>
      </w:r>
      <w:r>
        <w:t xml:space="preserve"> </w:t>
      </w:r>
      <m:oMath>
        <m:sSup>
          <m:e>
            <m:r>
              <m:t>I</m:t>
            </m:r>
          </m:e>
          <m:sup>
            <m:r>
              <m:t>2</m:t>
            </m:r>
          </m:sup>
        </m:sSup>
      </m:oMath>
      <w:r>
        <w:t xml:space="preserve">=62,4%; ICRV Q_M=17,35 (p = 0,002), H1 điều tiết thể chế được hỗ trợ; cDAI và DPL không có ý nghĩa (H2, H3 không được hỗ trợ). Phát hiện chính: publication bias xác nhận qua Begg-Mazumdar τ=−0,134 (p &lt; 0,001), trim-and-fill k=58 imputed,</w:t>
      </w:r>
      <w:r>
        <w:t xml:space="preserve"> </w:t>
      </w:r>
      <w:r>
        <w:rPr>
          <w:iCs/>
          <w:i/>
        </w:rPr>
        <w:t xml:space="preserve">r</w:t>
      </w:r>
      <w:r>
        <w:t xml:space="preserve">_adj=0,035, pooled effect thực tế thấp hơn khoảng 50% so với ước lượng thô. Đóng góp của P6 trong khuôn khổ CD2: xác nhận gradient ICRV tổng thể (Q_M có ý nghĩa) nhưng không đủ k ở mỗi nhóm để xác nhận đường gradient đơn điệu E1a/E1b.</w:t>
      </w:r>
    </w:p>
    <w:p>
      <w:pPr>
        <w:pStyle w:val="BodyText"/>
      </w:pPr>
      <w:r>
        <w:rPr>
          <w:bCs/>
          <w:b/>
        </w:rPr>
        <w:t xml:space="preserve">Hướng 2, P7: Kiểm định H1-H6 toàn pool 45 nền kinh tế (JIBS, under revision):</w:t>
      </w:r>
      <w:r>
        <w:t xml:space="preserve"> </w:t>
      </w:r>
      <w:r>
        <w:t xml:space="preserve">P7 đã hoàn thành, N = 82.302 (M2) đến 98.658 (pool) doanh nghiệp, 45 nền kinh tế châu Á và Thái Bình Dương, 98 country-year waves, 6 nhóm ICRV. Kết quả xác nhận: H1 (phi tuyến) điểm uốn toàn mẫu</w:t>
      </w:r>
      <w:r>
        <w:t xml:space="preserve"> </w:t>
      </w:r>
      <m:oMath>
        <m:r>
          <m:rPr>
            <m:sty m:val="p"/>
          </m:rPr>
          <m:t>≈</m:t>
        </m:r>
      </m:oMath>
      <w:r>
        <w:t xml:space="preserve"> </w:t>
      </w:r>
      <w:r>
        <w:t xml:space="preserve">37%; H2 TCI level effect β</w:t>
      </w:r>
      <w:r>
        <w:t xml:space="preserve"> </w:t>
      </w:r>
      <m:oMath>
        <m:r>
          <m:rPr>
            <m:sty m:val="p"/>
          </m:rPr>
          <m:t>≈</m:t>
        </m:r>
      </m:oMath>
      <w:r>
        <w:t xml:space="preserve"> </w:t>
      </w:r>
      <w:r>
        <w:t xml:space="preserve">+0,344 (p &lt; 0,05); H3 DAI universal level effect β = +0,155 (p &lt; 0,001) cùng cả hai số hạng tương tác độ cong; H5 ICRV điều tiết theo dạng độ cong (concavity / biên độ): hình chữ U ngược cong sâu hơn ở SIDS/Frontier và phẳng dần về gần tuyến tính ở Advanced Innovation, điểm uốn theo nhóm không đồng nhất và không dịch chuyển đơn điệu (tương tác M10 có ý nghĩa: FSTS×ICRV β = +1,85,</w:t>
      </w:r>
      <w:r>
        <w:t xml:space="preserve"> </w:t>
      </w:r>
      <m:oMath>
        <m:sSup>
          <m:e>
            <m:r>
              <m:rPr>
                <m:nor/>
                <m:sty m:val="p"/>
              </m:rPr>
              <m:t>FSTS</m:t>
            </m:r>
          </m:e>
          <m:sup>
            <m:r>
              <m:t>2</m:t>
            </m:r>
          </m:sup>
        </m:sSup>
      </m:oMath>
      <w:r>
        <w:t xml:space="preserve">×ICRV β = −2,93). Lá chắn số (Digital Shield) hai chiều DAI×ICRV có ý nghĩa (p = 0,049), mạnh nhất khi thể chế yếu; tương tác ba chiều FSTS×DAI×ICRV (β</w:t>
      </w:r>
      <w:r>
        <w:t xml:space="preserve"> </w:t>
      </w:r>
      <m:oMath>
        <m:r>
          <m:rPr>
            <m:sty m:val="p"/>
          </m:rPr>
          <m:t>≈</m:t>
        </m:r>
      </m:oMath>
      <w:r>
        <w:t xml:space="preserve"> </w:t>
      </w:r>
      <w:r>
        <w:t xml:space="preserve">−0,001, không có ý nghĩa) cho thấy một ranh giới cấu trúc: số hóa bề mặt Tier-1 không định hình lại được hình dạng đường cong I-P. P3 (Nhóm IV), P4 (Nhóm I), P5 (Nhóm III) cung cấp neo đậu cross-context đã được xác nhận bởi kết quả pooled 45 nền kinh tế.</w:t>
      </w:r>
    </w:p>
    <w:p>
      <w:pPr>
        <w:pStyle w:val="BodyText"/>
      </w:pPr>
      <w:r>
        <w:rPr>
          <w:bCs/>
          <w:b/>
        </w:rPr>
        <w:t xml:space="preserve">Hướng 3, P8: SIDS Thái Bình Dương, gánh nặng bắt buộc (World Development, under revision):</w:t>
      </w:r>
      <w:r>
        <w:t xml:space="preserve"> </w:t>
      </w:r>
      <w:r>
        <w:t xml:space="preserve">P8 đã hoàn thành,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bắt buộc (Briguglio, 1995; Bertram, 2006). Khoảng trống H1b trong CD2 đã được lấp đầy bởi P8.</w:t>
      </w:r>
    </w:p>
    <w:p>
      <w:pPr>
        <w:pStyle w:val="BodyText"/>
      </w:pPr>
      <w:r>
        <w:rPr>
          <w:bCs/>
          <w:b/>
        </w:rPr>
        <w:t xml:space="preserve">Hướng 4,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từ TCI đến năng suất và từ DAI đến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9"/>
    <w:bookmarkEnd w:id="90"/>
    <w:bookmarkEnd w:id="91"/>
    <w:bookmarkStart w:id="92"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https://doi.org/10.1177/0149206316648proper</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92"/>
    <w:bookmarkStart w:id="97" w:name="phụ-lục"/>
    <w:p>
      <w:pPr>
        <w:pStyle w:val="Heading2"/>
      </w:pPr>
      <w:r>
        <w:t xml:space="preserve">PHỤ LỤC</w:t>
      </w:r>
    </w:p>
    <w:bookmarkStart w:id="93" w:name="X4f7d30b1bba41a8911338bb6cb3079208caeb7a"/>
    <w:p>
      <w:pPr>
        <w:pStyle w:val="Heading3"/>
      </w:pPr>
      <w:r>
        <w:t xml:space="preserve">Phụ lục A, Danh sách 47 nền kinh tế theo nhóm ICRV</w:t>
      </w:r>
    </w:p>
    <w:p>
      <w:pPr>
        <w:pStyle w:val="FirstParagraph"/>
      </w:pPr>
      <w:r>
        <w:t xml:space="preserve">ICRV Nhóm I, Tiên tiến đổi mới sáng tạo dẫn dắt (5 nền kinh tế):</w:t>
      </w:r>
      <w:r>
        <w:t xml:space="preserve"> </w:t>
      </w:r>
      <w:r>
        <w:t xml:space="preserve">Singapore, Hong Kong SAR, Hàn Quốc, Đài Loan, Israel.</w:t>
      </w:r>
    </w:p>
    <w:p>
      <w:pPr>
        <w:pStyle w:val="BodyText"/>
      </w:pPr>
      <w:r>
        <w:t xml:space="preserve">ICRV Nhóm II, Tiên tiến tài nguyên dẫn dắt (5 nền kinh tế):</w:t>
      </w:r>
      <w:r>
        <w:t xml:space="preserve"> </w:t>
      </w:r>
      <w:r>
        <w:t xml:space="preserve">Saudi Arabia, Qatar, Kuwait, Bahrain, Brunei.</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Đang nổi (7 nền kinh tế):</w:t>
      </w:r>
      <w:r>
        <w:t xml:space="preserve"> </w:t>
      </w:r>
      <w:r>
        <w:t xml:space="preserve">Việt Nam, Indonesia, Philippines, Ấn Độ, Sri Lanka, Jordan, Mông Cổ.</w:t>
      </w:r>
    </w:p>
    <w:p>
      <w:pPr>
        <w:pStyle w:val="BodyText"/>
      </w:pPr>
      <w:r>
        <w:t xml:space="preserve">ICRV Nhóm V,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47 nền kinh tế.</w:t>
      </w:r>
    </w:p>
    <w:bookmarkEnd w:id="93"/>
    <w:bookmarkStart w:id="94" w:name="phụ-lục-b-tóm-tắt-ba-bản-thảo-đồng-hành"/>
    <w:p>
      <w:pPr>
        <w:pStyle w:val="Heading3"/>
      </w:pPr>
      <w:r>
        <w:t xml:space="preserve">Phụ lục B, Tóm tắt ba bản thảo đồng hành</w:t>
      </w:r>
    </w:p>
    <w:p>
      <w:pPr>
        <w:pStyle w:val="FirstParagraph"/>
      </w:pPr>
      <w:r>
        <w:t xml:space="preserve">P3, Việt Nam (JABS, under review):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under review): Mar, K. S., Đỗ, T. H., &amp; Phan, A. T. (2026). Phân tích 623 doanh nghiệp WBES 2023. Kết quả chính: đường cong I-P chủ yếu dương; điểm uốn hàm ý ~82% (vùng thưa dữ liệu; Lind-Mehlum p = 0,303); DAI×</w:t>
      </w:r>
      <m:oMath>
        <m:sSup>
          <m:e>
            <m:r>
              <m:rPr>
                <m:nor/>
                <m:sty m:val="p"/>
              </m:rPr>
              <m:t>FSTS</m:t>
            </m:r>
          </m:e>
          <m:sup>
            <m:r>
              <m:t>2</m:t>
            </m:r>
          </m:sup>
        </m:sSup>
      </m:oMath>
      <w:r>
        <w:t xml:space="preserve"> </w:t>
      </w:r>
      <w:r>
        <w:t xml:space="preserve">= +3,119 (p = 0,005), DAI là nguồn lực mở rộng tình huống; TCI β = 0,153.</w:t>
      </w:r>
    </w:p>
    <w:p>
      <w:pPr>
        <w:pStyle w:val="BodyText"/>
      </w:pPr>
      <w:r>
        <w:t xml:space="preserve">P5, Trung Quốc (IJOEM, under review): Đỗ, T. H., &amp; Phan, A. T. (2026). Phân tích 4.559 doanh nghiệp WBES hai sóng 2012/2024. Kết quả chính: chữ U ngược bền vững cấu trúc, điểm uốn 49,4% (2012), 47,2% (2024), Paternoster</w:t>
      </w:r>
      <w:r>
        <w:t xml:space="preserve"> </w:t>
      </w:r>
      <m:oMath>
        <m:sSup>
          <m:e>
            <m:r>
              <m:rPr>
                <m:nor/>
                <m:sty m:val="p"/>
              </m:rPr>
              <m:t>FSTS</m:t>
            </m:r>
          </m:e>
          <m:sup>
            <m:r>
              <m:t>2</m:t>
            </m:r>
          </m:sup>
        </m:sSup>
      </m:oMath>
      <w:r>
        <w:t xml:space="preserve"> </w:t>
      </w:r>
      <w:r>
        <w:t xml:space="preserve">p = 0,545 (không có sự khác biệt đáng kể); TCI tăng cường theo thời gian (+0,260 lên +0,426, Paternoster p = 0,011).</w:t>
      </w:r>
    </w:p>
    <w:bookmarkEnd w:id="94"/>
    <w:bookmarkStart w:id="95"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w:t>
      </w:r>
      <w:r>
        <w:t xml:space="preserve"> </w:t>
      </w:r>
      <m:oMath>
        <m:sSup>
          <m:e>
            <m:r>
              <m:t>R</m:t>
            </m:r>
          </m:e>
          <m:sup>
            <m:r>
              <m:t>2</m:t>
            </m:r>
          </m:sup>
        </m:sSup>
      </m:oMath>
      <w:r>
        <w:t xml:space="preserve"> </w:t>
      </w:r>
      <w:r>
        <w:t xml:space="preserve">báo cáo cho từng mô hình cộng với</w:t>
      </w:r>
      <w:r>
        <w:t xml:space="preserve"> </w:t>
      </w:r>
      <m:oMath>
        <m:r>
          <m:t>Δ</m:t>
        </m:r>
        <m:sSup>
          <m:e>
            <m:r>
              <m:t>R</m:t>
            </m:r>
          </m:e>
          <m:sup>
            <m:r>
              <m:t>2</m:t>
            </m:r>
          </m:sup>
        </m:sSup>
      </m:oMath>
      <w:r>
        <w:t xml:space="preserve"> </w:t>
      </w:r>
      <w:r>
        <w:t xml:space="preserve">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5"/>
    <w:bookmarkStart w:id="96"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w:t>
      </w:r>
      <w:r>
        <w:rPr>
          <w:rStyle w:val="BaseNTok"/>
        </w:rPr>
        <w:t xml:space="preserve">text</w:t>
      </w:r>
      <w:r>
        <w:rPr>
          <w:rStyle w:val="NormalTok"/>
        </w:rPr>
        <w:t xml:space="preserve">{FSTS}^2$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$\geq$ 50 (Cameron &amp; Miller, 2015)</w:t>
      </w:r>
      <w:r>
        <w:br/>
      </w:r>
      <w:r>
        <w:rPr>
          <w:rStyle w:val="NormalTok"/>
        </w:rPr>
        <w:t xml:space="preserve">* Pool 47 quốc gia × 5 ngành chính $\approx$ 235 </w:t>
      </w:r>
      <w:r>
        <w:rPr>
          <w:rStyle w:val="KeywordTok"/>
        </w:rPr>
        <w:t xml:space="preserve">cluster</w:t>
      </w:r>
      <w:r>
        <w:rPr>
          <w:rStyle w:val="NormalTok"/>
        </w:rPr>
        <w:t xml:space="preserve">,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6"/>
    <w:bookmarkEnd w:id="97"/>
    <w:bookmarkEnd w:id="9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2026-05-26T15:19:59Z</dcterms:created>
  <dcterms:modified xsi:type="dcterms:W3CDTF">2026-05-26T15:19:59Z</dcterms:modified>
</cp:coreProperties>
</file>

<file path=docProps/custom.xml><?xml version="1.0" encoding="utf-8"?>
<Properties xmlns="http://schemas.openxmlformats.org/officeDocument/2006/custom-properties" xmlns:vt="http://schemas.openxmlformats.org/officeDocument/2006/docPropsVTypes"/>
</file>