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khung-lý-thuyết-và-hệ-giả-thuyết"/>
    <w:p>
      <w:pPr>
        <w:pStyle w:val="Heading1"/>
      </w:pPr>
      <w:r>
        <w:t xml:space="preserve">Khung lý thuyết và hệ giả thuyết</w:t>
      </w:r>
    </w:p>
    <w:p>
      <w:pPr>
        <w:pStyle w:val="FirstParagraph"/>
      </w:pPr>
      <w:r>
        <w:t xml:space="preserve">File này trình bày khung lý thuyết tích hợp đa tầng của luận án và phát triển hệ giả thuyết H1–H6, kèm trích dẫn theo chuẩn APA 7th cho từng lập luận khoa học.</w:t>
      </w:r>
    </w:p>
    <w:bookmarkStart w:id="20" w:name="logic-xây-dựng-khung-lý-thuyết"/>
    <w:p>
      <w:pPr>
        <w:pStyle w:val="Heading2"/>
      </w:pPr>
      <w:r>
        <w:t xml:space="preserve">1. Logic xây dựng khung lý thuyết</w:t>
      </w:r>
    </w:p>
    <w:p>
      <w:pPr>
        <w:pStyle w:val="FirstParagraph"/>
      </w:pPr>
      <w:r>
        <w:t xml:space="preserve">Tài liệu nghiên cứu về quan hệ giữa quốc tế hóa và hiệu quả hoạt động của doanh nghiệp đã trải qua nhiều thập kỷ nhưng vẫn chưa đạt được đồng thuận, dù ở phương diện lý thuyết hay thực nghiệm. Các phân tích tổng hợp (meta-analysis) cho thấy tác động chung là dương nhưng nhỏ, trong khi mức dị biệt (heterogeneity) lại rất cao. Điều này hàm ý rằng quan hệ nói trên khó có thể được giải thích đầy đủ bằng một lý thuyết đơn lẻ (Bausch &amp; Krist, 2007; Kirca et al., 2012; Marano et al., 2016; Wu et al., 2022). Xuất phát từ đó, luận án này tiếp cận vấn đề bằng một</w:t>
      </w:r>
      <w:r>
        <w:t xml:space="preserve"> </w:t>
      </w:r>
      <w:r>
        <w:rPr>
          <w:bCs/>
          <w:b/>
        </w:rPr>
        <w:t xml:space="preserve">khung giải thích tích hợp đa tầng</w:t>
      </w:r>
      <w:r>
        <w:t xml:space="preserve">: bốn lý thuyết kinh điển của kinh doanh quốc tế được kết hợp với một lớp mở rộng về năng lực số nhằm phản ánh quá trình chuyển đổi số và bối cảnh trí tuệ nhân tạo đương đại.</w:t>
      </w:r>
    </w:p>
    <w:bookmarkEnd w:id="20"/>
    <w:bookmarkStart w:id="25" w:name="bốn-lý-thuyết-nền"/>
    <w:p>
      <w:pPr>
        <w:pStyle w:val="Heading2"/>
      </w:pPr>
      <w:r>
        <w:t xml:space="preserve">2. Bốn lý thuyết nền</w:t>
      </w:r>
    </w:p>
    <w:bookmarkStart w:id="21" w:name="X315f8cec1ac561984919705497c90be659d7d2d"/>
    <w:p>
      <w:pPr>
        <w:pStyle w:val="Heading3"/>
      </w:pPr>
      <w:r>
        <w:t xml:space="preserve">2.1 Mô hình quốc tế hóa Uppsala (Uppsala Internationalization Model)</w:t>
      </w:r>
    </w:p>
    <w:p>
      <w:pPr>
        <w:pStyle w:val="FirstParagraph"/>
      </w:pPr>
      <w:r>
        <w:t xml:space="preserve">Mô hình Uppsala (Johanson &amp; Vahlne, 1977, 2009) giải thích quốc tế hóa như một quá trình tích lũy tri thức và cam kết tăng dần, trong đó doanh nghiệp phải đối mặt với bất lợi do là người ngoại quốc (liability of foreignness) và bất lợi do đứng ngoài mạng lưới (liability of outsidership) khi thâm nhập thị trường nước ngoài (Johanson &amp; Vahlne, 2009; Zaheer, 1995). Mô hình này đặt nền cho lập luận về chi phí thâm nhập ban đầu, đồng thời gợi mở lý do vì sao quan hệ giữa quốc tế hóa và hiệu quả hoạt động có thể mang tính phi tuyến, với một giai đoạn chi phí cao trước khi lợi ích trở nên rõ rệt (Lu &amp; Beamish, 2004; Contractor et al., 2003).</w:t>
      </w:r>
    </w:p>
    <w:p>
      <w:pPr>
        <w:pStyle w:val="BodyText"/>
      </w:pPr>
      <w:r>
        <w:t xml:space="preserve">Mô hình Uppsala cổ điển lại được xây dựng trong bối cảnh tiền số, nên những năm gần đây đã chịu nhiều thách thức khi các doanh nghiệp sinh ra toàn cầu (born-global firms) và doanh nghiệp nền tảng (platform firms) quốc tế hóa nhanh, sớm và không theo trình tự tuần tự truyền thống (Stallkamp &amp; Schotter, 2021; Yang et al., 2025). Luận án này không bác bỏ Uppsala mà</w:t>
      </w:r>
      <w:r>
        <w:t xml:space="preserve"> </w:t>
      </w:r>
      <w:r>
        <w:rPr>
          <w:bCs/>
          <w:b/>
        </w:rPr>
        <w:t xml:space="preserve">tái định vị</w:t>
      </w:r>
      <w:r>
        <w:t xml:space="preserve"> </w:t>
      </w:r>
      <w:r>
        <w:t xml:space="preserve">nó như một tầng nền cho chi phí học hỏi và bất định; cơ chế học hỏi cũng được mở rộng để bao hàm cả việc học hỏi được tăng cường bằng dữ liệu (data-augmented learning) trong kỷ nguyên số (Banalieva &amp; Dhanaraj, 2019; Verhoef et al., 2021).</w:t>
      </w:r>
    </w:p>
    <w:bookmarkEnd w:id="21"/>
    <w:bookmarkStart w:id="22" w:name="Xc36fa03cc50c194ebacb9d998b0b1b796d8b93d"/>
    <w:p>
      <w:pPr>
        <w:pStyle w:val="Heading3"/>
      </w:pPr>
      <w:r>
        <w:t xml:space="preserve">2.2 Lý thuyết dựa trên nguồn lực (Resource-Based View)</w:t>
      </w:r>
    </w:p>
    <w:p>
      <w:pPr>
        <w:pStyle w:val="FirstParagraph"/>
      </w:pPr>
      <w:r>
        <w:t xml:space="preserve">Lý thuyết dựa trên nguồn lực (Resource-Based View — RBV) (Wernerfelt, 1984; Barney, 1991) cho rằng khác biệt về hiệu quả hoạt động giữa các doanh nghiệp bắt nguồn từ khác biệt trong việc sở hữu và khai thác những nguồn lực có giá trị, hiếm có, khó sao chép và khó thay thế (VRIN). Đặt vào bối cảnh quốc tế hóa, RBV giải thích vì sao cùng một mức độ quan hệ với thị trường nước ngoài nhưng các doanh nghiệp lại đạt hiệu quả rất khác nhau: những doanh nghiệp sở hữu năng lực công nghệ, năng lực quản trị và năng lực học hỏi tốt hơn sẽ chuyển hóa quốc tế hóa thành hiệu quả vượt trội (Hitt et al., 2006; Peng, 2001).</w:t>
      </w:r>
    </w:p>
    <w:p>
      <w:pPr>
        <w:pStyle w:val="BodyText"/>
      </w:pPr>
      <w:r>
        <w:t xml:space="preserve">Ở bối cảnh đương đại, RBV được mở rộng bằng năng lực động (dynamic capabilities) (Teece et al., 1997) và nhất là năng lực số (digital capabilities), vốn cho phép doanh nghiệp tái cấu hình nguồn lực để ứng phó với bất định trong quá trình quốc tế hóa (Bhandari et al., 2023; Verhoef et al., 2021). Trong luận án này, RBV là cơ sở lý thuyết cho giả thuyết về vai trò của năng lực công nghệ (technological capability) và mức độ chấp nhận số (digital adoption) như hai khái niệm điều tiết khác nhau.</w:t>
      </w:r>
    </w:p>
    <w:bookmarkEnd w:id="22"/>
    <w:bookmarkStart w:id="23" w:name="lý-thuyết-thể-chế-institutional-theory"/>
    <w:p>
      <w:pPr>
        <w:pStyle w:val="Heading3"/>
      </w:pPr>
      <w:r>
        <w:t xml:space="preserve">2.3 Lý thuyết thể chế (Institutional Theory)</w:t>
      </w:r>
    </w:p>
    <w:p>
      <w:pPr>
        <w:pStyle w:val="FirstParagraph"/>
      </w:pPr>
      <w:r>
        <w:t xml:space="preserve">Lý thuyết thể chế (Institutional Theory) (North, 1990; Scott, 1995; Khanna &amp; Palepu, 2010) cho rằng thể chế tạo ra cấu trúc khuyến khích, chi phí giao dịch và mức bất định khác nhau giữa các quốc gia; do đó cả chiến lược quốc tế hóa lẫn hiệu quả của nó đều phụ thuộc vào môi trường thể chế nơi doanh nghiệp hoạt động. Ở các thị trường mới nổi,</w:t>
      </w:r>
      <w:r>
        <w:t xml:space="preserve"> </w:t>
      </w:r>
      <w:r>
        <w:rPr>
          <w:bCs/>
          <w:b/>
        </w:rPr>
        <w:t xml:space="preserve">khoảng trống thể chế</w:t>
      </w:r>
      <w:r>
        <w:t xml:space="preserve"> </w:t>
      </w:r>
      <w:r>
        <w:t xml:space="preserve">(institutional voids), tức tình trạng thiếu hụt các thể chế trung gian hỗ trợ giao dịch thị trường, làm phát sinh chi phí tăng thêm và dị biệt về hiệu quả giữa các doanh nghiệp (Khanna &amp; Palepu, 2010; Peng, 2003).</w:t>
      </w:r>
    </w:p>
    <w:p>
      <w:pPr>
        <w:pStyle w:val="BodyText"/>
      </w:pPr>
      <w:r>
        <w:t xml:space="preserve">Marano et al. (2016) cung cấp bằng chứng tổng hợp cho thấy thể chế quốc gia gốc điều tiết quan hệ giữa quốc tế hóa và hiệu quả hoạt động, trong khi Cuervo-Cazurra et al. (2018) chỉ ra rằng bất định ở quốc gia gốc lại hun đúc năng lực quản lý bất định cho doanh nghiệp thị trường mới nổi. Trên nền tảng này, lý thuyết thể chế là cơ sở cho giả thuyết về vai trò điều tiết của các trở ngại thể chế (institutional obstacles) và cơ chế</w:t>
      </w:r>
      <w:r>
        <w:t xml:space="preserve"> </w:t>
      </w:r>
      <w:r>
        <w:t xml:space="preserve">“</w:t>
      </w:r>
      <w:r>
        <w:t xml:space="preserve">lá chắn số</w:t>
      </w:r>
      <w:r>
        <w:t xml:space="preserve">”</w:t>
      </w:r>
      <w:r>
        <w:t xml:space="preserve"> </w:t>
      </w:r>
      <w:r>
        <w:t xml:space="preserve">(digital shield effect). Để vận hành hóa tầng thể chế đa cấp, luận án áp dụng khung</w:t>
      </w:r>
      <w:r>
        <w:t xml:space="preserve"> </w:t>
      </w:r>
      <w:r>
        <w:rPr>
          <w:bCs/>
          <w:b/>
        </w:rPr>
        <w:t xml:space="preserve">ICRV (Institutional Context Regime Variation — Biến thiên chế độ bối cảnh thể chế)</w:t>
      </w:r>
      <w:r>
        <w:t xml:space="preserve">, phân loại 47 nền kinh tế thành 6 chế độ con (sub-regime): Advanced Innovation-Driven (Singapore), Advanced Resource-Driven (GCC), Upper-middle, Emerging, Frontier, và Pacific SIDS. Cách phân loại này được mở rộng từ khung thể chế của Khanna và Palepu (2010) và bộ chỉ số quản trị toàn cầu WGI (Kaufmann et al., 2011). Về mặt cơ chế, ICRV không phải một biến bối cảnh tĩnh mà là một bộ lọc chi phí giao dịch (transaction cost filter): mỗi chế độ quy định mức độ trơn tru mà giao dịch quốc tế hóa được chuyển hóa thành hiệu quả doanh nghiệp. Toàn bộ dải sáu chế độ tạo nên một bản đồ địa hình xuất khẩu chiến lược (strategic export topography), trên đó vị trí điểm uốn của quan hệ I-P dịch chuyển theo chất lượng thể chế và được điều tiết bởi mức độ chấp nhận số, với năng lực số đóng vai trò lá chắn bù đắp cho khoảng trống thể chế.</w:t>
      </w:r>
    </w:p>
    <w:bookmarkEnd w:id="23"/>
    <w:bookmarkStart w:id="24" w:name="X797f60c3ea3e56bd550b090d76c21c214b7887a"/>
    <w:p>
      <w:pPr>
        <w:pStyle w:val="Heading3"/>
      </w:pPr>
      <w:r>
        <w:t xml:space="preserve">2.4 Lý thuyết tầng lớp lãnh đạo (Upper Echelons Theory)</w:t>
      </w:r>
    </w:p>
    <w:p>
      <w:pPr>
        <w:pStyle w:val="FirstParagraph"/>
      </w:pPr>
      <w:r>
        <w:t xml:space="preserve">Lý thuyết tầng lớp lãnh đạo (Upper Echelons Theory) (Hambrick &amp; Mason, 1984; Hambrick, 2007) cho rằng quyết định chiến lược và kết quả của tổ chức phản ánh đặc điểm nhận thức, giá trị và kinh nghiệm của nhà quản trị cấp cao. Đặt vào quốc tế hóa, kinh nghiệm quốc tế của nhà quản trị cấp cao làm tăng khả năng nhận diện cơ hội và giảm chi phí của bất lợi do là người ngoại quốc (Hsu et al., 2013; Sambharya, 1996); đa dạng giới ở cấp lãnh đạo cũng được chứng minh có tác động đến kết quả doanh nghiệp thông qua cơ chế nhận thức đa chiều và quản trị rủi ro tốt hơn (Post &amp; Byron, 2015).</w:t>
      </w:r>
    </w:p>
    <w:p>
      <w:pPr>
        <w:pStyle w:val="BodyText"/>
      </w:pPr>
      <w:r>
        <w:t xml:space="preserve">Trên nền tảng này, lý thuyết tầng lớp lãnh đạo cung cấp cơ sở cho khối kiểm soát quản trị nội sinh của khung: kinh nghiệm, học vấn và giới tính của nhà quản trị cấp cao được đưa vào như các biến kiểm soát quản trị nội sinh về chất lượng quản trị, không phải một tầng điều tiết trọng tâm định hình độ cong của đường quan hệ I-P. Bốn nhân tố điều tiết trọng tâm của khung đa tầng là TCI (H2), DAI (H3), chế độ thể chế ICRV (H5) và thời gian (H6); đặc điểm nhà quản trị bổ sung cho các tầng này ở vai trò kiểm soát. Để bảo vệ tính nhân quả thuần khiết của tương tác Thể chế × Công nghệ, các đặc điểm nhà quản trị (kinh nghiệm, học vấn, giới tính) được đưa vào như biến kiểm soát quản trị nội sinh, không phải nhân tố điều tiết trọng tâm của đường cong I-P.</w:t>
      </w:r>
    </w:p>
    <w:bookmarkEnd w:id="24"/>
    <w:bookmarkEnd w:id="25"/>
    <w:bookmarkStart w:id="26" w:name="Xff959321e1162371d4a8680c67fef139de02694"/>
    <w:p>
      <w:pPr>
        <w:pStyle w:val="Heading2"/>
      </w:pPr>
      <w:r>
        <w:t xml:space="preserve">3. Lớp mở rộng: Lăng kính năng lực số (Digital Capability Lens)</w:t>
      </w:r>
    </w:p>
    <w:p>
      <w:pPr>
        <w:pStyle w:val="FirstParagraph"/>
      </w:pPr>
      <w:r>
        <w:t xml:space="preserve">Chủ đề chuyển đổi số và quốc tế hóa đã phát triển rất nhanh kể từ năm 2019. Banalieva và Dhanaraj (2019) đề xuất rằng lý thuyết nội bộ hóa (internalization theory) cần được cập nhật cho nền kinh tế số, bởi dữ liệu số và các tương tác dựa trên nền tảng làm giảm sự phụ thuộc vào hiện diện vật lý. Stallkamp và Schotter (2021) cho thấy doanh nghiệp nền tảng quốc tế hóa theo một logic khác hẳn so với công ty đa quốc gia truyền thống, còn Verhoef et al. (2021) đưa ra khung khái niệm phân biệt ba giai đoạn: số hóa dữ liệu (digitization), số hóa quy trình (digitalization) và chuyển đổi số (digital transformation). Yang et al. (2025) mở rộng hướng này bằng một tổng quan hệ thống về quốc tế hóa của doanh nghiệp số.</w:t>
      </w:r>
    </w:p>
    <w:p>
      <w:pPr>
        <w:pStyle w:val="BodyText"/>
      </w:pPr>
      <w:r>
        <w:t xml:space="preserve">Trong luận án này, lăng kính năng lực số đóng vai trò mở rộng RBV bằng cách tách bạch hai khái niệm độc lập:</w:t>
      </w:r>
    </w:p>
    <w:p>
      <w:pPr>
        <w:numPr>
          <w:ilvl w:val="0"/>
          <w:numId w:val="1001"/>
        </w:numPr>
        <w:pStyle w:val="Compact"/>
      </w:pPr>
      <w:r>
        <w:rPr>
          <w:bCs/>
          <w:b/>
        </w:rPr>
        <w:t xml:space="preserve">Năng lực công nghệ (technological capability)</w:t>
      </w:r>
      <w:r>
        <w:t xml:space="preserve">: chiều sâu của năng lực công nghệ tích hợp vào tổ chức (li-xăng công nghệ nước ngoài, hoạt động nghiên cứu và phát triển, chứng nhận chất lượng).</w:t>
      </w:r>
    </w:p>
    <w:p>
      <w:pPr>
        <w:numPr>
          <w:ilvl w:val="0"/>
          <w:numId w:val="1001"/>
        </w:numPr>
        <w:pStyle w:val="Compact"/>
      </w:pPr>
      <w:r>
        <w:rPr>
          <w:bCs/>
          <w:b/>
        </w:rPr>
        <w:t xml:space="preserve">Mức độ chấp nhận số (digital adoption)</w:t>
      </w:r>
      <w:r>
        <w:t xml:space="preserve">: mức độ áp dụng các công cụ số bề mặt (website, thư điện tử, thanh toán điện tử, bán hàng trực tuyến).</w:t>
      </w:r>
    </w:p>
    <w:p>
      <w:pPr>
        <w:pStyle w:val="FirstParagraph"/>
      </w:pPr>
      <w:r>
        <w:t xml:space="preserve">Hai khái niệm này không đồng nhất và có thể vận hành khác nhau trong quan hệ giữa quốc tế hóa và hiệu quả hoạt động (Bhandari et al., 2023; Bustamante et al., 2022; Chen &amp; Meng, 2022).</w:t>
      </w:r>
    </w:p>
    <w:bookmarkEnd w:id="26"/>
    <w:bookmarkStart w:id="27" w:name="mô-hình-khái-niệm-tích-hợp"/>
    <w:p>
      <w:pPr>
        <w:pStyle w:val="Heading2"/>
      </w:pPr>
      <w:r>
        <w:t xml:space="preserve">4. Mô hình khái niệm tích hợp</w:t>
      </w:r>
    </w:p>
    <w:p>
      <w:pPr>
        <w:pStyle w:val="SourceCode"/>
      </w:pPr>
      <w:r>
        <w:rPr>
          <w:rStyle w:val="VerbatimChar"/>
        </w:rPr>
        <w:t xml:space="preserve">          INSTITUTIONAL CONTEXT                  TOP MANAGER</w:t>
      </w:r>
      <w:r>
        <w:br/>
      </w:r>
      <w:r>
        <w:rPr>
          <w:rStyle w:val="VerbatimChar"/>
        </w:rPr>
        <w:t xml:space="preserve">          (ICRV 6 sub-regime:                  CHARACTERISTICS</w:t>
      </w:r>
      <w:r>
        <w:br/>
      </w:r>
      <w:r>
        <w:rPr>
          <w:rStyle w:val="VerbatimChar"/>
        </w:rPr>
        <w:t xml:space="preserve">           voids, obstacles,                   (experience, gender)</w:t>
      </w:r>
      <w:r>
        <w:br/>
      </w:r>
      <w:r>
        <w:rPr>
          <w:rStyle w:val="VerbatimChar"/>
        </w:rPr>
        <w:t xml:space="preserve">           regime gradient)</w:t>
      </w:r>
      <w:r>
        <w:br/>
      </w:r>
      <w:r>
        <w:rPr>
          <w:rStyle w:val="VerbatimChar"/>
        </w:rPr>
        <w:t xml:space="preserve">                  ↓                                  ↓</w:t>
      </w:r>
      <w:r>
        <w:br/>
      </w:r>
      <w:r>
        <w:rPr>
          <w:rStyle w:val="VerbatimChar"/>
        </w:rPr>
        <w:t xml:space="preserve">                  ↓           moderates                ↓</w:t>
      </w:r>
      <w:r>
        <w:br/>
      </w:r>
      <w:r>
        <w:rPr>
          <w:rStyle w:val="VerbatimChar"/>
        </w:rPr>
        <w:t xml:space="preserve">                  ↓              ↓↓                   ↓</w:t>
      </w:r>
      <w:r>
        <w:br/>
      </w:r>
      <w:r>
        <w:rPr>
          <w:rStyle w:val="VerbatimChar"/>
        </w:rPr>
        <w:t xml:space="preserve">  INTERNATIONALIZATION  →  [FIRM CAPABILITY]  →  FIRM PERFORMANCE</w:t>
      </w:r>
      <w:r>
        <w:br/>
      </w:r>
      <w:r>
        <w:rPr>
          <w:rStyle w:val="VerbatimChar"/>
        </w:rPr>
        <w:t xml:space="preserve">  (FSTS, FSTS²)            (technological             (labor productivity,</w:t>
      </w:r>
      <w:r>
        <w:br/>
      </w:r>
      <w:r>
        <w:rPr>
          <w:rStyle w:val="VerbatimChar"/>
        </w:rPr>
        <w:t xml:space="preserve">                            capability × digital       ROS, sales growth)</w:t>
      </w:r>
      <w:r>
        <w:br/>
      </w:r>
      <w:r>
        <w:rPr>
          <w:rStyle w:val="VerbatimChar"/>
        </w:rPr>
        <w:t xml:space="preserve">                            adoption)</w:t>
      </w:r>
      <w:r>
        <w:br/>
      </w:r>
      <w:r>
        <w:rPr>
          <w:rStyle w:val="VerbatimChar"/>
        </w:rPr>
        <w:t xml:space="preserve">                                  ↑↑</w:t>
      </w:r>
      <w:r>
        <w:br/>
      </w:r>
      <w:r>
        <w:rPr>
          <w:rStyle w:val="VerbatimChar"/>
        </w:rPr>
        <w:t xml:space="preserve">                                  ↑</w:t>
      </w:r>
      <w:r>
        <w:br/>
      </w:r>
      <w:r>
        <w:rPr>
          <w:rStyle w:val="VerbatimChar"/>
        </w:rPr>
        <w:t xml:space="preserve">                       DIGITAL CAPABILITY LENS</w:t>
      </w:r>
      <w:r>
        <w:br/>
      </w:r>
      <w:r>
        <w:rPr>
          <w:rStyle w:val="VerbatimChar"/>
        </w:rPr>
        <w:t xml:space="preserve">                       (Verhoef et al., 2021;</w:t>
      </w:r>
      <w:r>
        <w:br/>
      </w:r>
      <w:r>
        <w:rPr>
          <w:rStyle w:val="VerbatimChar"/>
        </w:rPr>
        <w:t xml:space="preserve">                        Banalieva &amp; Dhanaraj, 2019)</w:t>
      </w:r>
    </w:p>
    <w:p>
      <w:pPr>
        <w:pStyle w:val="FirstParagraph"/>
      </w:pPr>
      <w:r>
        <w:t xml:space="preserve">Khung này vận hành ở bốn tầng, gồm tầng thể chế, tầng năng lực, tầng quản trị và tầng hình dạng quan hệ, cùng với lớp mở rộng về năng lực số. Tùy mức độ dữ liệu cho phép, luận án khám phá các dạng điều tiết khác nhau: hiệu ứng chính, tương tác hai chiều và tương tác ba chiều.</w:t>
      </w:r>
    </w:p>
    <w:bookmarkEnd w:id="27"/>
    <w:bookmarkStart w:id="35" w:name="hệ-giả-thuyết-h1h6"/>
    <w:p>
      <w:pPr>
        <w:pStyle w:val="Heading2"/>
      </w:pPr>
      <w:r>
        <w:t xml:space="preserve">5. Hệ giả thuyết H1–H6</w:t>
      </w:r>
    </w:p>
    <w:bookmarkStart w:id="28" w:name="h1-phi-tuyến-chữ-u-ngược"/>
    <w:p>
      <w:pPr>
        <w:pStyle w:val="Heading3"/>
      </w:pPr>
      <w:r>
        <w:t xml:space="preserve">H1: Phi tuyến chữ U ngược</w:t>
      </w:r>
    </w:p>
    <w:p>
      <w:pPr>
        <w:pStyle w:val="FirstParagraph"/>
      </w:pPr>
      <w:r>
        <w:rPr>
          <w:bCs/>
          <w:b/>
        </w:rPr>
        <w:t xml:space="preserve">H1</w:t>
      </w:r>
      <w:r>
        <w:t xml:space="preserve">: Quan hệ giữa mức độ quốc tế hóa và hiệu quả hoạt động của doanh nghiệp ở các quốc gia châu Á có dạng phi tuyến (chữ U ngược), với một điểm uốn tối ưu (turning point) trước khi chi phí điều phối và bất định vượt qua lợi ích từ việc mở rộng.</w:t>
      </w:r>
    </w:p>
    <w:p>
      <w:pPr>
        <w:pStyle w:val="BodyText"/>
      </w:pPr>
      <w:r>
        <w:t xml:space="preserve">Cơ sở lý thuyết: Lu và Beamish (2004) với giả thuyết đường chữ S (S-curve hypothesis); Contractor et al. (2003) với lý thuyết ba giai đoạn; Hitt et al. (1997) với dạng chữ U ngược ở các doanh nghiệp đa dạng hóa sản phẩm.</w:t>
      </w:r>
    </w:p>
    <w:bookmarkEnd w:id="28"/>
    <w:bookmarkStart w:id="29" w:name="X3d4be30c2e5371c9012602af428629ee665fabf"/>
    <w:p>
      <w:pPr>
        <w:pStyle w:val="Heading3"/>
      </w:pPr>
      <w:r>
        <w:t xml:space="preserve">H1b: Điều kiện biên — Gánh nặng quốc tế hóa bắt buộc (FIP) tại Pacific SIDS</w:t>
      </w:r>
    </w:p>
    <w:p>
      <w:pPr>
        <w:pStyle w:val="FirstParagraph"/>
      </w:pPr>
      <w:r>
        <w:rPr>
          <w:bCs/>
          <w:b/>
        </w:rPr>
        <w:t xml:space="preserve">H1b</w:t>
      </w:r>
      <w:r>
        <w:t xml:space="preserve">: Tại các nền kinh tế Pacific SIDS (ICRV Nhóm VI), quan hệ giữa mức độ quốc tế hóa và hiệu quả hoạt động doanh nghiệp là</w:t>
      </w:r>
      <w:r>
        <w:t xml:space="preserve"> </w:t>
      </w:r>
      <w:r>
        <w:rPr>
          <w:bCs/>
          <w:b/>
        </w:rPr>
        <w:t xml:space="preserve">âm đơn điệu</w:t>
      </w:r>
      <w:r>
        <w:t xml:space="preserve"> </w:t>
      </w:r>
      <w:r>
        <w:t xml:space="preserve">(không có điểm uốn trong phạm vi dữ liệu). Quan hệ này phản ánh gánh nặng quốc tế hóa bắt buộc (Forced Internationalization Penalty — FIP), xuất hiện khi ba điều kiện cấu trúc đồng thời bị vi phạm: thị trường nội địa quá nhỏ, chi phí thương mại cực cao, và thiếu hỗ trợ thể chế.</w:t>
      </w:r>
    </w:p>
    <w:p>
      <w:pPr>
        <w:pStyle w:val="BodyText"/>
      </w:pPr>
      <w:r>
        <w:t xml:space="preserve">Cơ sở lý thuyết: North (1990) với lý thuyết thể chế; Williamson (1985) với lý thuyết chi phí giao dịch; Khanna và Palepu (2010) với khoảng trống thể chế; Lall (2004) với các ràng buộc cấu trúc của SIDS. H1b chính là</w:t>
      </w:r>
      <w:r>
        <w:t xml:space="preserve"> </w:t>
      </w:r>
      <w:r>
        <w:rPr>
          <w:bCs/>
          <w:b/>
        </w:rPr>
        <w:t xml:space="preserve">điều kiện biên</w:t>
      </w:r>
      <w:r>
        <w:t xml:space="preserve"> </w:t>
      </w:r>
      <w:r>
        <w:t xml:space="preserve">của H1: H1 áp dụng khi các điều kiện cấu trúc tối thiểu được đáp ứng, còn H1b áp dụng khi những điều kiện đó cùng lúc thất bại.</w:t>
      </w:r>
    </w:p>
    <w:bookmarkEnd w:id="29"/>
    <w:bookmarkStart w:id="30" w:name="h2-điều-tiết-bởi-năng-lực-công-nghệ"/>
    <w:p>
      <w:pPr>
        <w:pStyle w:val="Heading3"/>
      </w:pPr>
      <w:r>
        <w:t xml:space="preserve">H2: Điều tiết bởi năng lực công nghệ</w:t>
      </w:r>
    </w:p>
    <w:p>
      <w:pPr>
        <w:pStyle w:val="FirstParagraph"/>
      </w:pPr>
      <w:r>
        <w:rPr>
          <w:bCs/>
          <w:b/>
        </w:rPr>
        <w:t xml:space="preserve">H2</w:t>
      </w:r>
      <w:r>
        <w:t xml:space="preserve">: Năng lực công nghệ làm gia tăng tác động tích cực của quốc tế hóa lên hiệu quả hoạt động của doanh nghiệp, bằng cách nâng mặt bằng hiệu quả và giảm chi phí học hỏi thị trường quốc tế.</w:t>
      </w:r>
    </w:p>
    <w:p>
      <w:pPr>
        <w:pStyle w:val="BodyText"/>
      </w:pPr>
      <w:r>
        <w:t xml:space="preserve">Cơ sở lý thuyết: Barney (1991) với nguồn lực VRIN; Teece et al. (1997) với năng lực động; Bhandari et al. (2023) với việc dàn xếp nguồn lực (resource orchestration) trong kỷ nguyên số.</w:t>
      </w:r>
    </w:p>
    <w:bookmarkEnd w:id="30"/>
    <w:bookmarkStart w:id="31" w:name="h3-điều-tiết-bởi-mức-độ-chấp-nhận-số"/>
    <w:p>
      <w:pPr>
        <w:pStyle w:val="Heading3"/>
      </w:pPr>
      <w:r>
        <w:t xml:space="preserve">H3: Điều tiết bởi mức độ chấp nhận số</w:t>
      </w:r>
    </w:p>
    <w:p>
      <w:pPr>
        <w:pStyle w:val="FirstParagraph"/>
      </w:pPr>
      <w:r>
        <w:rPr>
          <w:bCs/>
          <w:b/>
        </w:rPr>
        <w:t xml:space="preserve">H3</w:t>
      </w:r>
      <w:r>
        <w:t xml:space="preserve">: Mức độ chấp nhận số điều tiết quan hệ giữa quốc tế hóa và hiệu quả hoạt động, với vai trò bổ trợ rõ rệt hơn ở mức cường độ xuất khẩu cao, nhờ giảm chi phí điều phối xuyên biên giới.</w:t>
      </w:r>
    </w:p>
    <w:p>
      <w:pPr>
        <w:pStyle w:val="BodyText"/>
      </w:pPr>
      <w:r>
        <w:t xml:space="preserve">Cơ sở lý thuyết: Verhoef et al. (2021) với khung chuyển đổi số; Stallkamp và Schotter (2021) với quốc tế hóa của doanh nghiệp nền tảng; Bustamante et al. (2022) với vai trò của năng lực số trong quốc tế hóa của doanh nghiệp nhỏ và vừa. Điểm phân biệt với H2 nằm ở cơ chế: năng lực công nghệ chủ yếu nâng mặt bằng hiệu quả, trong khi mức độ chấp nhận số làm thay đổi độ dốc hoặc độ cong của đường quan hệ.</w:t>
      </w:r>
    </w:p>
    <w:bookmarkEnd w:id="31"/>
    <w:bookmarkStart w:id="32" w:name="Xc721d07af0c6bbbad3620bd6bedbc67edbdb7db"/>
    <w:p>
      <w:pPr>
        <w:pStyle w:val="Heading3"/>
      </w:pPr>
      <w:r>
        <w:t xml:space="preserve">H4 (kiểm soát quản trị nội sinh): Đặc điểm nhà quản trị cấp cao</w:t>
      </w:r>
    </w:p>
    <w:p>
      <w:pPr>
        <w:pStyle w:val="FirstParagraph"/>
      </w:pPr>
      <w:r>
        <w:rPr>
          <w:bCs/>
          <w:b/>
        </w:rPr>
        <w:t xml:space="preserve">H4 (kiểm soát quản trị nội sinh)</w:t>
      </w:r>
      <w:r>
        <w:t xml:space="preserve">: Kinh nghiệm, học vấn và giới tính nữ của nhà quản trị cấp cao được đưa vào như nhóm biến kiểm soát quản trị nội sinh nâng mặt bằng hiệu quả doanh nghiệp, không phải nhân tố điều tiết trọng tâm định hình độ cong của đường quan hệ I-P. Việc kiểm soát các đặc điểm này, thay vì nâng chúng thành trục điều tiết, khóa chặt thiên lệch nội sinh phát sinh từ năng lực và sự đa dạng giới của nhà quản trị, qua đó bảo vệ tính nhân quả thuần khiết của tương tác Thể chế × Công nghệ. Các đặc điểm này vẫn được ước lượng trong các mô hình thực nghiệm, song với tư cách biến kiểm soát; ký hiệu H4 được giữ nguyên để tương thích với các bản thảo đồng hành (P3/P4/P5).</w:t>
      </w:r>
    </w:p>
    <w:p>
      <w:pPr>
        <w:pStyle w:val="BodyText"/>
      </w:pPr>
      <w:r>
        <w:t xml:space="preserve">Cơ sở lý thuyết: Hambrick và Mason (1984) với lý thuyết tầng lớp lãnh đạo; Hsu et al. (2013) với đặc điểm của tổng giám đốc trong quốc tế hóa của doanh nghiệp nhỏ và vừa; Post và Byron (2015) với tỷ lệ nữ trong hội đồng quản trị và hiệu quả doanh nghiệp.</w:t>
      </w:r>
    </w:p>
    <w:bookmarkEnd w:id="32"/>
    <w:bookmarkStart w:id="33" w:name="h5-điều-tiết-bởi-bối-cảnh-thể-chế"/>
    <w:p>
      <w:pPr>
        <w:pStyle w:val="Heading3"/>
      </w:pPr>
      <w:r>
        <w:t xml:space="preserve">H5: Điều tiết bởi bối cảnh thể chế</w:t>
      </w:r>
    </w:p>
    <w:p>
      <w:pPr>
        <w:pStyle w:val="FirstParagraph"/>
      </w:pPr>
      <w:r>
        <w:rPr>
          <w:bCs/>
          <w:b/>
        </w:rPr>
        <w:t xml:space="preserve">H5</w:t>
      </w:r>
      <w:r>
        <w:t xml:space="preserve">: Chất lượng thể chế theo khung ICRV (6 chế độ con từ Advanced Innovation-Driven đến Pacific SIDS) điều tiết tác động của các trở ngại thể chế lên hiệu quả hoạt động trong quá trình quốc tế hóa, với mức độ chấp nhận số đóng vai trò</w:t>
      </w:r>
      <w:r>
        <w:t xml:space="preserve"> </w:t>
      </w:r>
      <w:r>
        <w:t xml:space="preserve">“</w:t>
      </w:r>
      <w:r>
        <w:t xml:space="preserve">lá chắn số</w:t>
      </w:r>
      <w:r>
        <w:t xml:space="preserve">”</w:t>
      </w:r>
      <w:r>
        <w:t xml:space="preserve"> </w:t>
      </w:r>
      <w:r>
        <w:t xml:space="preserve">bù đắp một phần cho khoảng trống thể chế. Cường độ điều tiết giảm dần theo gradient ICRV, từ nhóm Frontier đến nhóm Advanced.</w:t>
      </w:r>
    </w:p>
    <w:p>
      <w:pPr>
        <w:pStyle w:val="BodyText"/>
      </w:pPr>
      <w:r>
        <w:t xml:space="preserve">Cơ sở lý thuyết: North (1990) với thể chế và hiệu quả kinh tế; Khanna và Palepu (2010) với khoảng trống thể chế; Marano et al. (2016) với bằng chứng tổng hợp về thể chế quốc gia gốc trong quan hệ giữa quốc tế hóa và hiệu quả hoạt động.</w:t>
      </w:r>
    </w:p>
    <w:bookmarkEnd w:id="33"/>
    <w:bookmarkStart w:id="34" w:name="h6-dị-biệt-theo-thời-gian"/>
    <w:p>
      <w:pPr>
        <w:pStyle w:val="Heading3"/>
      </w:pPr>
      <w:r>
        <w:t xml:space="preserve">H6: Dị biệt theo thời gian</w:t>
      </w:r>
    </w:p>
    <w:p>
      <w:pPr>
        <w:pStyle w:val="FirstParagraph"/>
      </w:pPr>
      <w:r>
        <w:rPr>
          <w:bCs/>
          <w:b/>
        </w:rPr>
        <w:t xml:space="preserve">H6</w:t>
      </w:r>
      <w:r>
        <w:t xml:space="preserve">: Hình dạng phi tuyến của quan hệ giữa quốc tế hóa và hiệu quả hoạt động thay đổi theo thời gian ở các nền kinh tế chuyển đổi nhanh, phản ánh sự phát triển của năng lực doanh nghiệp và điều kiện thể chế qua từng giai đoạn.</w:t>
      </w:r>
    </w:p>
    <w:p>
      <w:pPr>
        <w:pStyle w:val="BodyText"/>
      </w:pPr>
      <w:r>
        <w:t xml:space="preserve">Cơ sở lý thuyết: Wu et al. (2022) với phân tích tổng hợp hai mươi năm về doanh nghiệp đa quốc gia thị trường mới nổi; Xiao et al. (2013) về các yếu tố điều tiết quản trị đặc thù của Trung Quốc; Banalieva và Dhanaraj (2019) về logic nội bộ hóa đang tiến hóa trong kỷ nguyên số.</w:t>
      </w:r>
    </w:p>
    <w:bookmarkEnd w:id="34"/>
    <w:bookmarkEnd w:id="35"/>
    <w:bookmarkStart w:id="36" w:name="X14f8b02e10f99ac157b85b2d193b40beed895f7"/>
    <w:p>
      <w:pPr>
        <w:pStyle w:val="Heading2"/>
      </w:pPr>
      <w:r>
        <w:t xml:space="preserve">6. Ánh xạ giả thuyết sang phương pháp kiểm định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Giả thuyết</w:t>
            </w:r>
          </w:p>
        </w:tc>
        <w:tc>
          <w:tcPr/>
          <w:p>
            <w:pPr>
              <w:pStyle w:val="Compact"/>
              <w:jc w:val="left"/>
            </w:pPr>
            <w:r>
              <w:t xml:space="preserve">Cuộc đối thoại kiểm định chính</w:t>
            </w:r>
          </w:p>
        </w:tc>
        <w:tc>
          <w:tcPr/>
          <w:p>
            <w:pPr>
              <w:pStyle w:val="Compact"/>
              <w:jc w:val="left"/>
            </w:pPr>
            <w:r>
              <w:t xml:space="preserve">Phase phân tích</w:t>
            </w:r>
          </w:p>
        </w:tc>
      </w:tr>
      <w:tr>
        <w:tc>
          <w:tcPr/>
          <w:p>
            <w:pPr>
              <w:pStyle w:val="Compact"/>
              <w:jc w:val="left"/>
            </w:pPr>
            <w:r>
              <w:t xml:space="preserve">H1</w:t>
            </w:r>
          </w:p>
        </w:tc>
        <w:tc>
          <w:tcPr/>
          <w:p>
            <w:pPr>
              <w:pStyle w:val="Compact"/>
              <w:jc w:val="left"/>
            </w:pPr>
            <w:r>
              <w:t xml:space="preserve">Mô hình quadratic với</w:t>
            </w:r>
            <w:r>
              <w:t xml:space="preserve"> </w:t>
            </w:r>
            <m:oMath>
              <m:r>
                <m:t>F</m:t>
              </m:r>
              <m:r>
                <m:t>S</m:t>
              </m:r>
              <m:r>
                <m:t>T</m:t>
              </m:r>
              <m:r>
                <m:t>S</m:t>
              </m:r>
            </m:oMath>
            <w:r>
              <w:t xml:space="preserve"> </w:t>
            </w:r>
            <w:r>
              <w:t xml:space="preserve">và</w:t>
            </w:r>
            <w:r>
              <w:t xml:space="preserve"> </w:t>
            </w:r>
            <m:oMath>
              <m:r>
                <m:t>F</m:t>
              </m:r>
              <m:r>
                <m:t>S</m:t>
              </m:r>
              <m:r>
                <m:t>T</m:t>
              </m:r>
              <m:sSup>
                <m:e>
                  <m:r>
                    <m:t>S</m:t>
                  </m:r>
                </m:e>
                <m:sup>
                  <m:r>
                    <m:t>2</m:t>
                  </m:r>
                </m:sup>
              </m:sSup>
            </m:oMath>
            <w:r>
              <w:t xml:space="preserve">; Lind–Mehlum U-test</w:t>
            </w:r>
          </w:p>
        </w:tc>
        <w:tc>
          <w:tcPr/>
          <w:p>
            <w:pPr>
              <w:pStyle w:val="Compact"/>
              <w:jc w:val="left"/>
            </w:pPr>
            <w:r>
              <w:t xml:space="preserve">Country-level và multi-country</w:t>
            </w:r>
          </w:p>
        </w:tc>
      </w:tr>
      <w:tr>
        <w:tc>
          <w:tcPr/>
          <w:p>
            <w:pPr>
              <w:pStyle w:val="Compact"/>
              <w:jc w:val="left"/>
            </w:pPr>
            <w:r>
              <w:t xml:space="preserve">H1b</w:t>
            </w:r>
          </w:p>
        </w:tc>
        <w:tc>
          <w:tcPr/>
          <w:p>
            <w:pPr>
              <w:pStyle w:val="Compact"/>
              <w:jc w:val="left"/>
            </w:pPr>
            <w:r>
              <w:t xml:space="preserve">Mô hình M1 tuyến tính tại SIDS; Lind–Mehlum U-test (NS); exporters-only robustness</w:t>
            </w:r>
          </w:p>
        </w:tc>
        <w:tc>
          <w:tcPr/>
          <w:p>
            <w:pPr>
              <w:pStyle w:val="Compact"/>
              <w:jc w:val="left"/>
            </w:pPr>
            <w:r>
              <w:t xml:space="preserve">Pacific SIDS (P8)</w:t>
            </w:r>
          </w:p>
        </w:tc>
      </w:tr>
      <w:tr>
        <w:tc>
          <w:tcPr/>
          <w:p>
            <w:pPr>
              <w:pStyle w:val="Compact"/>
              <w:jc w:val="left"/>
            </w:pPr>
            <w:r>
              <w:t xml:space="preserve">H2</w:t>
            </w:r>
          </w:p>
        </w:tc>
        <w:tc>
          <w:tcPr/>
          <w:p>
            <w:pPr>
              <w:pStyle w:val="Compact"/>
              <w:jc w:val="left"/>
            </w:pPr>
            <w:r>
              <w:t xml:space="preserve">Tương tác</w:t>
            </w:r>
            <w:r>
              <w:t xml:space="preserve"> </w:t>
            </w:r>
            <m:oMath>
              <m:r>
                <m:t>F</m:t>
              </m:r>
              <m:r>
                <m:t>S</m:t>
              </m:r>
              <m:r>
                <m:t>T</m:t>
              </m:r>
              <m:r>
                <m:t>S</m:t>
              </m:r>
              <m:r>
                <m:rPr>
                  <m:sty m:val="p"/>
                </m:rPr>
                <m:t>×</m:t>
              </m:r>
              <m:r>
                <m:t>T</m:t>
              </m:r>
              <m:r>
                <m:t>C</m:t>
              </m:r>
              <m:r>
                <m:t>I</m:t>
              </m:r>
            </m:oMath>
            <w:r>
              <w:t xml:space="preserve"> </w:t>
            </w:r>
            <w:r>
              <w:t xml:space="preserve">trong hồi quy</w:t>
            </w:r>
          </w:p>
        </w:tc>
        <w:tc>
          <w:tcPr/>
          <w:p>
            <w:pPr>
              <w:pStyle w:val="Compact"/>
              <w:jc w:val="left"/>
            </w:pPr>
            <w:r>
              <w:t xml:space="preserve">Country-level và multi-country</w:t>
            </w:r>
          </w:p>
        </w:tc>
      </w:tr>
      <w:tr>
        <w:tc>
          <w:tcPr/>
          <w:p>
            <w:pPr>
              <w:pStyle w:val="Compact"/>
              <w:jc w:val="left"/>
            </w:pPr>
            <w:r>
              <w:t xml:space="preserve">H3</w:t>
            </w:r>
          </w:p>
        </w:tc>
        <w:tc>
          <w:tcPr/>
          <w:p>
            <w:pPr>
              <w:pStyle w:val="Compact"/>
              <w:jc w:val="left"/>
            </w:pPr>
            <w:r>
              <w:t xml:space="preserve">Tương tác</w:t>
            </w:r>
            <w:r>
              <w:t xml:space="preserve"> </w:t>
            </w:r>
            <m:oMath>
              <m:r>
                <m:t>F</m:t>
              </m:r>
              <m:r>
                <m:t>S</m:t>
              </m:r>
              <m:r>
                <m:t>T</m:t>
              </m:r>
              <m:r>
                <m:t>S</m:t>
              </m:r>
              <m:r>
                <m:rPr>
                  <m:sty m:val="p"/>
                </m:rPr>
                <m:t>×</m:t>
              </m:r>
              <m:r>
                <m:t>D</m:t>
              </m:r>
              <m:r>
                <m:t>A</m:t>
              </m:r>
              <m:r>
                <m:t>I</m:t>
              </m:r>
            </m:oMath>
            <w:r>
              <w:t xml:space="preserve"> </w:t>
            </w:r>
            <w:r>
              <w:t xml:space="preserve">và</w:t>
            </w:r>
            <w:r>
              <w:t xml:space="preserve"> </w:t>
            </w:r>
            <m:oMath>
              <m:r>
                <m:t>F</m:t>
              </m:r>
              <m:r>
                <m:t>S</m:t>
              </m:r>
              <m:r>
                <m:t>T</m:t>
              </m:r>
              <m:sSup>
                <m:e>
                  <m:r>
                    <m:t>S</m:t>
                  </m:r>
                </m:e>
                <m:sup>
                  <m:r>
                    <m:t>2</m:t>
                  </m:r>
                </m:sup>
              </m:sSup>
              <m:r>
                <m:rPr>
                  <m:sty m:val="p"/>
                </m:rPr>
                <m:t>×</m:t>
              </m:r>
              <m:r>
                <m:t>D</m:t>
              </m:r>
              <m:r>
                <m:t>A</m:t>
              </m:r>
              <m:r>
                <m:t>I</m:t>
              </m:r>
            </m:oMath>
          </w:p>
        </w:tc>
        <w:tc>
          <w:tcPr/>
          <w:p>
            <w:pPr>
              <w:pStyle w:val="Compact"/>
              <w:jc w:val="left"/>
            </w:pPr>
            <w:r>
              <w:t xml:space="preserve">Country-level và multi-country</w:t>
            </w:r>
          </w:p>
        </w:tc>
      </w:tr>
      <w:tr>
        <w:tc>
          <w:tcPr/>
          <w:p>
            <w:pPr>
              <w:pStyle w:val="Compact"/>
              <w:jc w:val="left"/>
            </w:pPr>
            <w:r>
              <w:t xml:space="preserve">H4 (kiểm soát quản trị nội sinh)</w:t>
            </w:r>
          </w:p>
        </w:tc>
        <w:tc>
          <w:tcPr/>
          <w:p>
            <w:pPr>
              <w:pStyle w:val="Compact"/>
              <w:jc w:val="left"/>
            </w:pPr>
            <m:oMath>
              <m:r>
                <m:t>M</m:t>
              </m:r>
              <m:r>
                <m:t>a</m:t>
              </m:r>
              <m:r>
                <m:t>n</m:t>
              </m:r>
              <m:r>
                <m:t>a</m:t>
              </m:r>
              <m:r>
                <m:t>g</m:t>
              </m:r>
              <m:r>
                <m:t>e</m:t>
              </m:r>
              <m:sSub>
                <m:e>
                  <m:r>
                    <m:t>r</m:t>
                  </m:r>
                </m:e>
                <m:sub>
                  <m:r>
                    <m:t>e</m:t>
                  </m:r>
                  <m:r>
                    <m:t>x</m:t>
                  </m:r>
                  <m:r>
                    <m:t>p</m:t>
                  </m:r>
                </m:sub>
              </m:sSub>
            </m:oMath>
            <w:r>
              <w:t xml:space="preserve">,</w:t>
            </w:r>
            <w:r>
              <w:t xml:space="preserve"> </w:t>
            </w:r>
            <m:oMath>
              <m:r>
                <m:t>M</m:t>
              </m:r>
              <m:r>
                <m:t>a</m:t>
              </m:r>
              <m:r>
                <m:t>n</m:t>
              </m:r>
              <m:r>
                <m:t>a</m:t>
              </m:r>
              <m:r>
                <m:t>g</m:t>
              </m:r>
              <m:r>
                <m:t>e</m:t>
              </m:r>
              <m:sSub>
                <m:e>
                  <m:r>
                    <m:t>r</m:t>
                  </m:r>
                </m:e>
                <m:sub>
                  <m:r>
                    <m:t>e</m:t>
                  </m:r>
                  <m:r>
                    <m:t>d</m:t>
                  </m:r>
                  <m:r>
                    <m:t>u</m:t>
                  </m:r>
                  <m:r>
                    <m:t>c</m:t>
                  </m:r>
                </m:sub>
              </m:sSub>
            </m:oMath>
            <w:r>
              <w:t xml:space="preserve">,</w:t>
            </w:r>
            <w:r>
              <w:t xml:space="preserve"> </w:t>
            </w:r>
            <m:oMath>
              <m:r>
                <m:t>M</m:t>
              </m:r>
              <m:r>
                <m:t>a</m:t>
              </m:r>
              <m:r>
                <m:t>n</m:t>
              </m:r>
              <m:r>
                <m:t>a</m:t>
              </m:r>
              <m:r>
                <m:t>g</m:t>
              </m:r>
              <m:r>
                <m:t>e</m:t>
              </m:r>
              <m:sSub>
                <m:e>
                  <m:r>
                    <m:t>r</m:t>
                  </m:r>
                </m:e>
                <m:sub>
                  <m:r>
                    <m:t>g</m:t>
                  </m:r>
                  <m:r>
                    <m:t>e</m:t>
                  </m:r>
                  <m:r>
                    <m:t>n</m:t>
                  </m:r>
                  <m:r>
                    <m:t>d</m:t>
                  </m:r>
                  <m:r>
                    <m:t>e</m:t>
                  </m:r>
                  <m:r>
                    <m:t>r</m:t>
                  </m:r>
                </m:sub>
              </m:sSub>
            </m:oMath>
            <w:r>
              <w:t xml:space="preserve"> </w:t>
            </w:r>
            <w:r>
              <w:t xml:space="preserve">đưa vào ở dạng số hạng chính (kiểm soát mức); số hạng tương tác chỉ báo cáo như chẩn đoán phụ trợ, không phải bằng chứng điều tiết trọng tâm</w:t>
            </w:r>
          </w:p>
        </w:tc>
        <w:tc>
          <w:tcPr/>
          <w:p>
            <w:pPr>
              <w:pStyle w:val="Compact"/>
              <w:jc w:val="left"/>
            </w:pPr>
            <w:r>
              <w:t xml:space="preserve">Multi-country (do dữ liệu quy mô lớn)</w:t>
            </w:r>
          </w:p>
        </w:tc>
      </w:tr>
      <w:tr>
        <w:tc>
          <w:tcPr/>
          <w:p>
            <w:pPr>
              <w:pStyle w:val="Compact"/>
              <w:jc w:val="left"/>
            </w:pPr>
            <w:r>
              <w:t xml:space="preserve">H5</w:t>
            </w:r>
          </w:p>
        </w:tc>
        <w:tc>
          <w:tcPr/>
          <w:p>
            <w:pPr>
              <w:pStyle w:val="Compact"/>
              <w:jc w:val="left"/>
            </w:pPr>
            <w:r>
              <w:t xml:space="preserve">Tương tác</w:t>
            </w:r>
            <w:r>
              <w:t xml:space="preserve"> </w:t>
            </w:r>
            <m:oMath>
              <m:r>
                <m:t>F</m:t>
              </m:r>
              <m:r>
                <m:t>S</m:t>
              </m:r>
              <m:r>
                <m:t>T</m:t>
              </m:r>
              <m:r>
                <m:t>S</m:t>
              </m:r>
              <m:r>
                <m:rPr>
                  <m:sty m:val="p"/>
                </m:rPr>
                <m:t>×</m:t>
              </m:r>
              <m:r>
                <m:t>I</m:t>
              </m:r>
              <m:r>
                <m:t>n</m:t>
              </m:r>
              <m:r>
                <m:t>s</m:t>
              </m:r>
              <m:r>
                <m:t>t</m:t>
              </m:r>
              <m:r>
                <m:t>i</m:t>
              </m:r>
              <m:r>
                <m:t>t</m:t>
              </m:r>
              <m:r>
                <m:t>u</m:t>
              </m:r>
              <m:r>
                <m:t>t</m:t>
              </m:r>
              <m:r>
                <m:t>i</m:t>
              </m:r>
              <m:r>
                <m:t>o</m:t>
              </m:r>
              <m:r>
                <m:t>n</m:t>
              </m:r>
              <m:r>
                <m:t>a</m:t>
              </m:r>
              <m:sSub>
                <m:e>
                  <m:r>
                    <m:t>l</m:t>
                  </m:r>
                </m:e>
                <m:sub>
                  <m:r>
                    <m:t>o</m:t>
                  </m:r>
                  <m:r>
                    <m:t>b</m:t>
                  </m:r>
                  <m:r>
                    <m:t>s</m:t>
                  </m:r>
                  <m:r>
                    <m:t>t</m:t>
                  </m:r>
                  <m:r>
                    <m:t>a</m:t>
                  </m:r>
                  <m:r>
                    <m:t>c</m:t>
                  </m:r>
                  <m:r>
                    <m:t>l</m:t>
                  </m:r>
                  <m:r>
                    <m:t>e</m:t>
                  </m:r>
                  <m:r>
                    <m:t>s</m:t>
                  </m:r>
                </m:sub>
              </m:sSub>
            </m:oMath>
            <w:r>
              <w:t xml:space="preserve">; subgroup theo ICRV regime (Advanced / Emerging / Frontier / SIDS)</w:t>
            </w:r>
          </w:p>
        </w:tc>
        <w:tc>
          <w:tcPr/>
          <w:p>
            <w:pPr>
              <w:pStyle w:val="Compact"/>
              <w:jc w:val="left"/>
            </w:pPr>
            <w:r>
              <w:t xml:space="preserve">Multi-country</w:t>
            </w:r>
          </w:p>
        </w:tc>
      </w:tr>
      <w:tr>
        <w:tc>
          <w:tcPr/>
          <w:p>
            <w:pPr>
              <w:pStyle w:val="Compact"/>
              <w:jc w:val="left"/>
            </w:pPr>
            <w:r>
              <w:t xml:space="preserve">H6</w:t>
            </w:r>
          </w:p>
        </w:tc>
        <w:tc>
          <w:tcPr/>
          <w:p>
            <w:pPr>
              <w:pStyle w:val="Compact"/>
              <w:jc w:val="left"/>
            </w:pPr>
            <w:r>
              <w:t xml:space="preserve">Tương tác</w:t>
            </w:r>
            <w:r>
              <w:t xml:space="preserve"> </w:t>
            </w:r>
            <m:oMath>
              <m:r>
                <m:t>F</m:t>
              </m:r>
              <m:r>
                <m:t>S</m:t>
              </m:r>
              <m:r>
                <m:t>T</m:t>
              </m:r>
              <m:r>
                <m:t>S</m:t>
              </m:r>
              <m:r>
                <m:rPr>
                  <m:sty m:val="p"/>
                </m:rPr>
                <m:t>×</m:t>
              </m:r>
              <m:r>
                <m:t>Y</m:t>
              </m:r>
              <m:r>
                <m:t>e</m:t>
              </m:r>
              <m:r>
                <m:t>a</m:t>
              </m:r>
              <m:sSub>
                <m:e>
                  <m:r>
                    <m:t>r</m:t>
                  </m:r>
                </m:e>
                <m:sub>
                  <m:r>
                    <m:t>2024</m:t>
                  </m:r>
                </m:sub>
              </m:sSub>
            </m:oMath>
            <w:r>
              <w:t xml:space="preserve"> </w:t>
            </w:r>
            <w:r>
              <w:t xml:space="preserve">và</w:t>
            </w:r>
            <w:r>
              <w:t xml:space="preserve"> </w:t>
            </w:r>
            <m:oMath>
              <m:r>
                <m:t>F</m:t>
              </m:r>
              <m:r>
                <m:t>S</m:t>
              </m:r>
              <m:r>
                <m:t>T</m:t>
              </m:r>
              <m:sSup>
                <m:e>
                  <m:r>
                    <m:t>S</m:t>
                  </m:r>
                </m:e>
                <m:sup>
                  <m:r>
                    <m:t>2</m:t>
                  </m:r>
                </m:sup>
              </m:sSup>
              <m:r>
                <m:rPr>
                  <m:sty m:val="p"/>
                </m:rPr>
                <m:t>×</m:t>
              </m:r>
              <m:r>
                <m:t>Y</m:t>
              </m:r>
              <m:r>
                <m:t>e</m:t>
              </m:r>
              <m:r>
                <m:t>a</m:t>
              </m:r>
              <m:sSub>
                <m:e>
                  <m:r>
                    <m:t>r</m:t>
                  </m:r>
                </m:e>
                <m:sub>
                  <m:r>
                    <m:t>2024</m:t>
                  </m:r>
                </m:sub>
              </m:sSub>
            </m:oMath>
          </w:p>
        </w:tc>
        <w:tc>
          <w:tcPr/>
          <w:p>
            <w:pPr>
              <w:pStyle w:val="Compact"/>
              <w:jc w:val="left"/>
            </w:pPr>
            <w:r>
              <w:t xml:space="preserve">China two-wave analysis</w:t>
            </w:r>
          </w:p>
        </w:tc>
      </w:tr>
    </w:tbl>
    <w:p>
      <w:pPr>
        <w:pStyle w:val="BodyText"/>
      </w:pPr>
      <w:r>
        <w:t xml:space="preserve">Chi tiết mô hình phân tích và kiểm định độ vững được trình bày trong file</w:t>
      </w:r>
      <w:r>
        <w:t xml:space="preserve"> </w:t>
      </w:r>
      <w:r>
        <w:rPr>
          <w:rStyle w:val="VerbatimChar"/>
        </w:rPr>
        <w:t xml:space="preserve">03_methodology_vi.md</w:t>
      </w:r>
      <w:r>
        <w:t xml:space="preserve">.</w:t>
      </w:r>
    </w:p>
    <w:bookmarkEnd w:id="36"/>
    <w:bookmarkStart w:id="37" w:name="kết-nối-với-tài-liệu-nghiên-cứu-quốc-tế"/>
    <w:p>
      <w:pPr>
        <w:pStyle w:val="Heading2"/>
      </w:pPr>
      <w:r>
        <w:t xml:space="preserve">7. Kết nối với tài liệu nghiên cứu quốc tế</w:t>
      </w:r>
    </w:p>
    <w:p>
      <w:pPr>
        <w:pStyle w:val="FirstParagraph"/>
      </w:pPr>
      <w:r>
        <w:t xml:space="preserve">Khung bốn tầng kết hợp lăng kính năng lực số của luận án đối thoại trực tiếp với ba dòng nghiên cứu chính trong tài liệu đương đại. Dòng thứ nhất là phân tích tổng hợp về quan hệ giữa quốc tế hóa và hiệu quả hoạt động (Bausch &amp; Krist, 2007; Kirca et al., 2012; Marano et al., 2016; Wu et al., 2022; Arte &amp; Larimo, 2022), cung cấp mức tham chiếu về độ lớn của hiệu ứng và mức dị biệt. Bên cạnh đó, dòng nghiên cứu về doanh nghiệp đa quốc gia thị trường mới nổi và môi trường thể chế (Cuervo-Cazurra et al., 2018; Khanna &amp; Palepu, 2010; Peng, 2003) tạo lực đẩy lý thuyết cho tầng thể chế. Sau cùng, dòng nghiên cứu về quốc tế hóa số (Banalieva &amp; Dhanaraj, 2019; Stallkamp &amp; Schotter, 2021; Verhoef et al., 2021; Yang et al., 2025) cung cấp lớp mở rộng cho kỷ nguyên số.</w:t>
      </w:r>
    </w:p>
    <w:p>
      <w:pPr>
        <w:pStyle w:val="BodyText"/>
      </w:pPr>
      <w:r>
        <w:t xml:space="preserve">Luận án này đóng góp vào cả ba dòng nghiên cứu trên bằng cách tích hợp chúng vào một khung nhất quán, rồi kiểm định trên dữ liệu doanh nghiệp quy mô lớn tại châu Á, vốn là một bối cảnh còn ít được đại diện trong các phân tích tổng hợp quốc tế trước đây.</w:t>
      </w:r>
    </w:p>
    <w:bookmarkEnd w:id="37"/>
    <w:bookmarkEnd w:id="38"/>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both"/>
      <w:outlineLvl w:val="0"/>
    </w:pPr>
    <w:rPr>
      <w:rFonts w:ascii="Times New Roman" w:asciiTheme="majorHAnsi" w:cstheme="majorBidi" w:eastAsia="Times New Roman" w:eastAsiaTheme="majorEastAsia" w:hAnsi="Times New Roman" w:hAnsiTheme="majorHAnsi"/>
      <w:b/>
      <w:bCs/>
      <w:color w:val="000000"/>
      <w:sz w:val="26"/>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2026-05-26T15:19:55Z</dcterms:created>
  <dcterms:modified xsi:type="dcterms:W3CDTF">2026-05-26T15:19:55Z</dcterms:modified>
</cp:coreProperties>
</file>

<file path=docProps/custom.xml><?xml version="1.0" encoding="utf-8"?>
<Properties xmlns="http://schemas.openxmlformats.org/officeDocument/2006/custom-properties" xmlns:vt="http://schemas.openxmlformats.org/officeDocument/2006/docPropsVTypes"/>
</file>