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tài liệu nghiên cứu, kèm trích dẫn theo chuẩn APA 7th.</w:t>
      </w:r>
    </w:p>
    <w:p>
      <w:pPr>
        <w:numPr>
          <w:ilvl w:val="0"/>
          <w:numId w:val="1001"/>
        </w:numPr>
        <w:pStyle w:val="Compact"/>
      </w:pPr>
      <w:r>
        <w:rPr>
          <w:bCs/>
          <w:b/>
        </w:rPr>
        <w:t xml:space="preserve">Đóng góp mới/điều chỉnh</w:t>
      </w:r>
      <w:r>
        <w:t xml:space="preserve">: những điểm mà luận án này cải tiến hoặc tổ chức lại, kèm lập luận rõ ràng.</w:t>
      </w:r>
    </w:p>
    <w:bookmarkStart w:id="22" w:name="thiết-kế-nghiên-cứu-tổng-thể"/>
    <w:p>
      <w:pPr>
        <w:pStyle w:val="Heading2"/>
      </w:pPr>
      <w:r>
        <w:t xml:space="preserve">1. Thiết kế nghiên cứu tổng thể</w:t>
      </w:r>
    </w:p>
    <w:bookmarkStart w:id="20" w:name="loại-thiết-kế"/>
    <w:p>
      <w:pPr>
        <w:pStyle w:val="Heading3"/>
      </w:pPr>
      <w:r>
        <w:t xml:space="preserve">1.1 Loại thiết kế</w:t>
      </w:r>
    </w:p>
    <w:p>
      <w:pPr>
        <w:pStyle w:val="FirstParagraph"/>
      </w:pPr>
      <w:r>
        <w:t xml:space="preserve">Luận án này sử dụng</w:t>
      </w:r>
      <w:r>
        <w:t xml:space="preserve"> </w:t>
      </w:r>
      <w:r>
        <w:rPr>
          <w:bCs/>
          <w:b/>
        </w:rPr>
        <w:t xml:space="preserve">thiết kế hỗn hợp tổng hợp-thực nghiệm</w:t>
      </w:r>
      <w:r>
        <w:t xml:space="preserve"> </w:t>
      </w:r>
      <w:r>
        <w:t xml:space="preserve">(mixed synthesis-empirical design) gồm hai giai đoạn bổ sung cho nhau. Giai đoạn thứ nhất là phân tích tổng hợp tài liệu nghiên cứu nhằm trả lời câu hỏi nghiên cứu RQ1; giai đoạn thứ hai là phân tích thực nghiệm doanh nghiệp đa quốc gia nhằm trả lời RQ2–RQ4. Hai giai đoạn này đối thoại theo hai chiều: phân tích tổng hợp cung cấp mức tham chiếu và gợi ý các yếu tố điều tiết cần kiểm định, còn phân tích thực nghiệm cung cấp bằng chứng bổ sung cho phần tổng hợp ở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Việc áp dụng thiết kế hỗn hợp cho một luận án duy nhất về quan hệ giữa quốc tế hóa và hiệu quả hoạt động trong bối cảnh châu Á và Thái Bình Dương với</w:t>
      </w:r>
      <w:r>
        <w:t xml:space="preserve"> </w:t>
      </w:r>
      <w:r>
        <w:rPr>
          <w:bCs/>
          <w:b/>
        </w:rPr>
        <w:t xml:space="preserve">47 nền kinh tế</w:t>
      </w:r>
      <w:r>
        <w:t xml:space="preserve"> </w:t>
      </w:r>
      <w:r>
        <w:t xml:space="preserve">là một thiết kế hiếm gặp; phần lớn các luận án kinh doanh quốc tế chỉ thực hiện một trong hai giai đoạn. Quy mô 47 nước/101.185 doanh nghiệp là phạm vi địa lý lớn nhất từng có cho khu vực, mở rộng từ tập 17 nước trong Đỗ và Phan (2026 — VEFR).</w:t>
      </w:r>
    </w:p>
    <w:bookmarkEnd w:id="20"/>
    <w:bookmarkStart w:id="21" w:name="quy-trình-nghiên-cứu"/>
    <w:p>
      <w:pPr>
        <w:pStyle w:val="Heading3"/>
      </w:pPr>
      <w:r>
        <w:t xml:space="preserve">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giai đoạn 1982–2026; (iv) thu thập và chuẩn hóa dữ liệu WBES cho</w:t>
      </w:r>
      <w:r>
        <w:t xml:space="preserve"> </w:t>
      </w:r>
      <w:r>
        <w:rPr>
          <w:bCs/>
          <w:b/>
        </w:rPr>
        <w:t xml:space="preserve">47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phase-1-meta-analysis-19822026"/>
    <w:p>
      <w:pPr>
        <w:pStyle w:val="Heading2"/>
      </w:pPr>
      <w:r>
        <w:t xml:space="preserve">2. Phase 1: Meta-analysis 1982–2026</w:t>
      </w:r>
    </w:p>
    <w:bookmarkStart w:id="23" w:name="cơ-sở-kế-thừa"/>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đóng-góp-mớiđiều-chỉnh"/>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quy-trình-prisma"/>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phase-2-multi-country-empirical-analysis"/>
    <w:p>
      <w:pPr>
        <w:pStyle w:val="Heading2"/>
      </w:pPr>
      <w:r>
        <w:t xml:space="preserve">3. Phase 2: Multi-country empirical analysis</w:t>
      </w:r>
    </w:p>
    <w:bookmarkStart w:id="27" w:name="nguồn-dữ-liệu"/>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bff20786659f3471473d6f5f9041e850d60d8e2"/>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đo-lường-biến-độc-lập-quốc-tế-hóa"/>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đo-lường-biến-điều-tiết"/>
    <w:p>
      <w:pPr>
        <w:pStyle w:val="Heading3"/>
      </w:pPr>
      <w:r>
        <w:t xml:space="preserve">3.4 Đo lường biến điều tiết</w:t>
      </w:r>
    </w:p>
    <w:bookmarkStart w:id="30" w:name="digital-constructs-tci-và-dai"/>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institutional-variables"/>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4d377de0a7370556b1183b0b745f7a8759688bb"/>
    <w:p>
      <w:pPr>
        <w:pStyle w:val="Heading4"/>
      </w:pPr>
      <w:r>
        <w:t xml:space="preserve">3.4.3 Top manager characteristics (kiểm soát quản trị nội sinh H4)</w:t>
      </w:r>
    </w:p>
    <w:p>
      <w:pPr>
        <w:pStyle w:val="FirstParagraph"/>
      </w:pPr>
      <w:r>
        <w:rPr>
          <w:bCs/>
          <w:b/>
        </w:rPr>
        <w:t xml:space="preserve">Biến kiểm soát</w:t>
      </w:r>
      <w:r>
        <w:t xml:space="preserve">: top manager experience (năm kinh nghiệm), top manager education, top manager gender (female / male).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biến-kiểm-soát"/>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mô-hình-phân-tích"/>
    <w:p>
      <w:pPr>
        <w:pStyle w:val="Heading2"/>
      </w:pPr>
      <w:r>
        <w:t xml:space="preserve">4. Mô hình phân tích</w:t>
      </w:r>
    </w:p>
    <w:bookmarkStart w:id="36" w:name="mô-hình-meta-analysis"/>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mô-hình-empirical-tuyến-tính-cơ-bản"/>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mô-hình-phi-tuyến-h1"/>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mô-hình-moderation-h2h6"/>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 (DAI),</w:t>
      </w:r>
      <w:r>
        <w:t xml:space="preserve"> </w:t>
      </w:r>
      <m:oMath>
        <m:r>
          <m:t>I</m:t>
        </m:r>
      </m:oMath>
      <w:r>
        <w:t xml:space="preserve"> </w:t>
      </w:r>
      <w:r>
        <w:t xml:space="preserve">= institutional (ICRV) là hai nhân tố điều tiết trọng tâm, và</w:t>
      </w:r>
      <w:r>
        <w:t xml:space="preserve"> </w:t>
      </w:r>
      <m:oMath>
        <m:r>
          <m:t>M</m:t>
        </m:r>
      </m:oMath>
      <w:r>
        <w:t xml:space="preserve"> </w:t>
      </w:r>
      <w:r>
        <w:t xml:space="preserve">= manager được đưa vào như khối kiểm soát quản trị nội sinh.</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focal moderation digital × institutional (DAI × ICRV) trong bối cảnh châu Á và Pacific với 47 nước chưa được kiểm định trước đây, với đặc điểm nhà quản trị giữ vai trò kiểm soát quản trị nội sinh nhằm bảo vệ tính nhân quả thuần khiết của tương tác Thể chế × Công nghệ.</w:t>
      </w:r>
    </w:p>
    <w:bookmarkEnd w:id="40"/>
    <w:bookmarkEnd w:id="41"/>
    <w:bookmarkStart w:id="42" w:name="mô-hình-temporal-heterogeneity-h6"/>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3ef1c131b29643aac6595f7e8338779440cc96b"/>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ee326425775ef5a6cb69bdccb6b7f607df42eb1"/>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0414c1f445c504fea8a4b83b026b3007745b73"/>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ef1ee77b66ccd9962e55365d60bd74be93a9b17"/>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hiệu ứng nâng mặt bằng, lợi thế hiệu quả  17–20%cross-context)</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82.302 (M2) → 38.342 (M3, thêm kiểm soát) → 28.500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72c3034bf25699c0cc81f461b619e266c28066b"/>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w:t>
      </w:r>
      <w:r>
        <w:t xml:space="preserve"> </w:t>
      </w:r>
      <w:r>
        <w:t xml:space="preserve">“</w:t>
      </w:r>
      <w:r>
        <w:t xml:space="preserve">institutional moderation of I-P intensity</w:t>
      </w:r>
      <w:r>
        <w:t xml:space="preserve">”</w:t>
      </w:r>
      <w:r>
        <w:t xml:space="preserve"> </w:t>
      </w:r>
      <w:r>
        <w:t xml:space="preserve">(Marano et al., 2016) sang</w:t>
      </w:r>
      <w:r>
        <w:t xml:space="preserve"> </w:t>
      </w:r>
      <w:r>
        <w:t xml:space="preserve">“</w:t>
      </w:r>
      <w:r>
        <w:t xml:space="preserve">institutional determination of I-P sign</w:t>
      </w:r>
      <w:r>
        <w:t xml:space="preserve">”</w:t>
      </w:r>
      <w:r>
        <w:t xml:space="preserve">.</w:t>
      </w:r>
    </w:p>
    <w:p>
      <w:r>
        <w:pict>
          <v:rect style="width:0;height:1.5pt" o:hralign="center" o:hrstd="t" o:hr="t"/>
        </w:pict>
      </w:r>
    </w:p>
    <w:bookmarkEnd w:id="47"/>
    <w:bookmarkStart w:id="48" w:name="sai-số-chuẩn"/>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kiểm-định-độ-vững"/>
    <w:p>
      <w:pPr>
        <w:pStyle w:val="Heading2"/>
      </w:pPr>
      <w:r>
        <w:t xml:space="preserve">5. Kiểm định độ vững</w:t>
      </w:r>
    </w:p>
    <w:bookmarkStart w:id="50" w:name="thay-đổi-thước-đo"/>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mẫu-phụ"/>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outliers"/>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multicollinearity-và-heteroscedasticity"/>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sensitivity-analysis-cho-meta-analysis"/>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tóm-tắt-kế-thừa-và-đóng-góp-mới"/>
    <w:p>
      <w:pPr>
        <w:pStyle w:val="Heading2"/>
      </w:pPr>
      <w:r>
        <w:t xml:space="preserve">6. Tóm tắt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Focal moderation digital × institutional</w:t>
            </w:r>
          </w:p>
        </w:tc>
        <w:tc>
          <w:tcPr/>
          <w:p>
            <w:pPr>
              <w:pStyle w:val="Compact"/>
              <w:jc w:val="left"/>
            </w:pPr>
            <w:r>
              <w:t xml:space="preserve">Aiken &amp; West (1991); Dawson (2014)</w:t>
            </w:r>
          </w:p>
        </w:tc>
        <w:tc>
          <w:tcPr/>
          <w:p>
            <w:pPr>
              <w:pStyle w:val="Compact"/>
              <w:jc w:val="left"/>
            </w:pPr>
            <w:r>
              <w:t xml:space="preserve">DAI × ICRV mới cho châu Á và Pacific; manager characteristics giữ vai trò kiểm soát quản trị nội sinh</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đạo-đức-nghiên-cứu"/>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2026-05-26T15:19:55Z</dcterms:created>
  <dcterms:modified xsi:type="dcterms:W3CDTF">2026-05-26T15:19:55Z</dcterms:modified>
</cp:coreProperties>
</file>

<file path=docProps/custom.xml><?xml version="1.0" encoding="utf-8"?>
<Properties xmlns="http://schemas.openxmlformats.org/officeDocument/2006/custom-properties" xmlns:vt="http://schemas.openxmlformats.org/officeDocument/2006/docPropsVTypes"/>
</file>