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Tác</w:t>
      </w:r>
      <w:r>
        <w:t xml:space="preserve"> </w:t>
      </w:r>
      <w:r>
        <w:t xml:space="preserve">động</w:t>
      </w:r>
      <w:r>
        <w:t xml:space="preserve"> </w:t>
      </w:r>
      <w:r>
        <w:t xml:space="preserve">của</w:t>
      </w:r>
      <w:r>
        <w:t xml:space="preserve"> </w:t>
      </w:r>
      <w:r>
        <w:t xml:space="preserve">quốc</w:t>
      </w:r>
      <w:r>
        <w:t xml:space="preserve"> </w:t>
      </w:r>
      <w:r>
        <w:t xml:space="preserve">tế</w:t>
      </w:r>
      <w:r>
        <w:t xml:space="preserve"> </w:t>
      </w:r>
      <w:r>
        <w:t xml:space="preserve">hóa</w:t>
      </w:r>
      <w:r>
        <w:t xml:space="preserve"> </w:t>
      </w:r>
      <w:r>
        <w:t xml:space="preserve">đến</w:t>
      </w:r>
      <w:r>
        <w:t xml:space="preserve"> </w:t>
      </w:r>
      <w:r>
        <w:t xml:space="preserve">hiệu</w:t>
      </w:r>
      <w:r>
        <w:t xml:space="preserve"> </w:t>
      </w:r>
      <w:r>
        <w:t xml:space="preserve">quả</w:t>
      </w:r>
      <w:r>
        <w:t xml:space="preserve"> </w:t>
      </w:r>
      <w:r>
        <w:t xml:space="preserve">hoạt</w:t>
      </w:r>
      <w:r>
        <w:t xml:space="preserve"> </w:t>
      </w:r>
      <w:r>
        <w:t xml:space="preserve">động</w:t>
      </w:r>
      <w:r>
        <w:t xml:space="preserve"> </w:t>
      </w:r>
      <w:r>
        <w:t xml:space="preserve">kinh</w:t>
      </w:r>
      <w:r>
        <w:t xml:space="preserve"> </w:t>
      </w:r>
      <w:r>
        <w:t xml:space="preserve">doanh</w:t>
      </w:r>
      <w:r>
        <w:t xml:space="preserve"> </w:t>
      </w:r>
      <w:r>
        <w:t xml:space="preserve">của</w:t>
      </w:r>
      <w:r>
        <w:t xml:space="preserve"> </w:t>
      </w:r>
      <w:r>
        <w:t xml:space="preserve">doanh</w:t>
      </w:r>
      <w:r>
        <w:t xml:space="preserve"> </w:t>
      </w:r>
      <w:r>
        <w:t xml:space="preserve">nghiệp</w:t>
      </w:r>
      <w:r>
        <w:t xml:space="preserve"> </w:t>
      </w:r>
      <w:r>
        <w:t xml:space="preserve">tại</w:t>
      </w:r>
      <w:r>
        <w:t xml:space="preserve"> </w:t>
      </w:r>
      <w:r>
        <w:t xml:space="preserve">châu</w:t>
      </w:r>
      <w:r>
        <w:t xml:space="preserve"> </w:t>
      </w:r>
      <w:r>
        <w:t xml:space="preserve">Á:</w:t>
      </w:r>
      <w:r>
        <w:t xml:space="preserve"> </w:t>
      </w:r>
      <w:r>
        <w:t xml:space="preserve">Vai</w:t>
      </w:r>
      <w:r>
        <w:t xml:space="preserve"> </w:t>
      </w:r>
      <w:r>
        <w:t xml:space="preserve">trò</w:t>
      </w:r>
      <w:r>
        <w:t xml:space="preserve"> </w:t>
      </w:r>
      <w:r>
        <w:t xml:space="preserve">điều</w:t>
      </w:r>
      <w:r>
        <w:t xml:space="preserve"> </w:t>
      </w:r>
      <w:r>
        <w:t xml:space="preserve">tiết</w:t>
      </w:r>
      <w:r>
        <w:t xml:space="preserve"> </w:t>
      </w:r>
      <w:r>
        <w:t xml:space="preserve">của</w:t>
      </w:r>
      <w:r>
        <w:t xml:space="preserve"> </w:t>
      </w:r>
      <w:r>
        <w:t xml:space="preserve">thể</w:t>
      </w:r>
      <w:r>
        <w:t xml:space="preserve"> </w:t>
      </w:r>
      <w:r>
        <w:t xml:space="preserve">chế,</w:t>
      </w:r>
      <w:r>
        <w:t xml:space="preserve"> </w:t>
      </w:r>
      <w:r>
        <w:t xml:space="preserve">năng</w:t>
      </w:r>
      <w:r>
        <w:t xml:space="preserve"> </w:t>
      </w:r>
      <w:r>
        <w:t xml:space="preserve">lực</w:t>
      </w:r>
      <w:r>
        <w:t xml:space="preserve"> </w:t>
      </w:r>
      <w:r>
        <w:t xml:space="preserve">số</w:t>
      </w:r>
      <w:r>
        <w:t xml:space="preserve"> </w:t>
      </w:r>
      <w:r>
        <w:t xml:space="preserve">và</w:t>
      </w:r>
      <w:r>
        <w:t xml:space="preserve"> </w:t>
      </w:r>
      <w:r>
        <w:t xml:space="preserve">đặc</w:t>
      </w:r>
      <w:r>
        <w:t xml:space="preserve"> </w:t>
      </w:r>
      <w:r>
        <w:t xml:space="preserve">điểm</w:t>
      </w:r>
      <w:r>
        <w:t xml:space="preserve"> </w:t>
      </w:r>
      <w:r>
        <w:t xml:space="preserve">nhà</w:t>
      </w:r>
      <w:r>
        <w:t xml:space="preserve"> </w:t>
      </w:r>
      <w:r>
        <w:t xml:space="preserve">quản</w:t>
      </w:r>
      <w:r>
        <w:t xml:space="preserve"> </w:t>
      </w:r>
      <w:r>
        <w:t xml:space="preserve">trị</w:t>
      </w:r>
    </w:p>
    <w:p>
      <w:pPr>
        <w:pStyle w:val="Author"/>
      </w:pPr>
      <w:r>
        <w:t xml:space="preserve">Nghiên</w:t>
      </w:r>
      <w:r>
        <w:t xml:space="preserve"> </w:t>
      </w:r>
      <w:r>
        <w:t xml:space="preserve">cứu</w:t>
      </w:r>
      <w:r>
        <w:t xml:space="preserve"> </w:t>
      </w:r>
      <w:r>
        <w:t xml:space="preserve">sinh,</w:t>
      </w:r>
      <w:r>
        <w:t xml:space="preserve"> </w:t>
      </w:r>
      <w:r>
        <w:t xml:space="preserve">Đại</w:t>
      </w:r>
      <w:r>
        <w:t xml:space="preserve"> </w:t>
      </w:r>
      <w:r>
        <w:t xml:space="preserve">học</w:t>
      </w:r>
      <w:r>
        <w:t xml:space="preserve"> </w:t>
      </w:r>
      <w:r>
        <w:t xml:space="preserve">Cần</w:t>
      </w:r>
      <w:r>
        <w:t xml:space="preserve"> </w:t>
      </w:r>
      <w:r>
        <w:t xml:space="preserve">Thơ</w:t>
      </w:r>
    </w:p>
    <w:p>
      <w:pPr>
        <w:pStyle w:val="Date"/>
      </w:pPr>
      <w:r>
        <w:t xml:space="preserve">2026</w:t>
      </w:r>
    </w:p>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 "digital shield effect",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pict>
          <v:rect style="width:0;height:1.5pt" o:hralign="center" o:hrstd="t" o:hr="t"/>
        </w:pict>
      </w:r>
    </w:p>
    <w:bookmarkEnd w:id="35"/>
    <w:bookmarkEnd w:id="36"/>
    <w:bookmarkStart w:id="6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41" w:name="Xeb842970bc83042d8d18acf50fede2fc1910f98"/>
    <w:p>
      <w:pPr>
        <w:pStyle w:val="Heading2"/>
      </w:pPr>
      <w:r>
        <w:t xml:space="preserve">2.1 Các khái niệm cốt lõi</w:t>
      </w:r>
    </w:p>
    <w:bookmarkStart w:id="37"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37"/>
    <w:bookmarkStart w:id="38"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38"/>
    <w:bookmarkStart w:id="39"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39"/>
    <w:bookmarkStart w:id="40"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40"/>
    <w:bookmarkEnd w:id="41"/>
    <w:bookmarkStart w:id="47" w:name="Xd1f28dbba0aaaf84fdd94ae0c3fe8487075de6a"/>
    <w:p>
      <w:pPr>
        <w:pStyle w:val="Heading2"/>
      </w:pPr>
      <w:r>
        <w:t xml:space="preserve">2.2 Các lý thuyết nền</w:t>
      </w:r>
    </w:p>
    <w:bookmarkStart w:id="42"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42"/>
    <w:bookmarkStart w:id="43"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43"/>
    <w:bookmarkStart w:id="44"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44"/>
    <w:bookmarkStart w:id="45"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45"/>
    <w:bookmarkStart w:id="46"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46"/>
    <w:bookmarkEnd w:id="47"/>
    <w:bookmarkStart w:id="52" w:name="Xb68718caf7a2cd6e9eb5a792769262881ac883e"/>
    <w:p>
      <w:pPr>
        <w:pStyle w:val="Heading2"/>
      </w:pPr>
      <w:r>
        <w:t xml:space="preserve">2.3 Tổng quan thực nghiệm</w:t>
      </w:r>
    </w:p>
    <w:bookmarkStart w:id="48"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48"/>
    <w:bookmarkStart w:id="49"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rất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49"/>
    <w:bookmarkStart w:id="50"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rất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 "hiệu ứng lá chắn số" (digital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50"/>
    <w:bookmarkStart w:id="51"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51"/>
    <w:bookmarkEnd w:id="52"/>
    <w:bookmarkStart w:id="53"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những địa điểm rất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bối cảnh mà quốc tế hóa là gánh nặng sinh tồn, không phải lựa chọn chiến lược dựa trên lợi thế cạnh tranh. Do và Phan (2026b) —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53"/>
    <w:bookmarkStart w:id="62" w:name="X2e72411c23c34d41d1942bd5d4fbf8ae22da5d2"/>
    <w:p>
      <w:pPr>
        <w:pStyle w:val="Heading2"/>
      </w:pPr>
      <w:r>
        <w:t xml:space="preserve">2.5 Mô hình nghiên cứu và hệ giả thuyết</w:t>
      </w:r>
    </w:p>
    <w:bookmarkStart w:id="54"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rất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54"/>
    <w:bookmarkStart w:id="55"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55"/>
    <w:bookmarkStart w:id="56"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56"/>
    <w:bookmarkStart w:id="57"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57"/>
    <w:bookmarkStart w:id="58"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58"/>
    <w:bookmarkStart w:id="59"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59"/>
    <w:bookmarkStart w:id="60"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60"/>
    <w:bookmarkStart w:id="61"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61"/>
    <w:bookmarkEnd w:id="62"/>
    <w:bookmarkStart w:id="63"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pict>
          <v:rect style="width:0;height:1.5pt" o:hralign="center" o:hrstd="t" o:hr="t"/>
        </w:pict>
      </w:r>
    </w:p>
    <w:bookmarkEnd w:id="63"/>
    <w:bookmarkEnd w:id="64"/>
    <w:bookmarkStart w:id="103" w:name="chương-3-phương-pháp-nghiên-cứu"/>
    <w:p>
      <w:pPr>
        <w:pStyle w:val="Heading1"/>
      </w:pPr>
      <w:r>
        <w:t xml:space="preserve">CHƯƠNG 3: PHƯƠNG PHÁP NGHIÊN CỨU</w:t>
      </w:r>
    </w:p>
    <w:p>
      <w:r>
        <w:pict>
          <v:rect style="width:0;height:1.5pt" o:hralign="center" o:hrstd="t" o:hr="t"/>
        </w:pict>
      </w:r>
    </w:p>
    <w:bookmarkStart w:id="67" w:name="X5941ec2c11a959ab436d2688aecb01c885af8d5"/>
    <w:p>
      <w:pPr>
        <w:pStyle w:val="Heading2"/>
      </w:pPr>
      <w:r>
        <w:t xml:space="preserve">3.1 Thiết kế nghiên cứu tổng thể</w:t>
      </w:r>
    </w:p>
    <w:bookmarkStart w:id="65"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65"/>
    <w:bookmarkStart w:id="66"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66"/>
    <w:bookmarkEnd w:id="67"/>
    <w:bookmarkStart w:id="71" w:name="Xba2b2f63509bf3587653379b96fe905a4c38721"/>
    <w:p>
      <w:pPr>
        <w:pStyle w:val="Heading2"/>
      </w:pPr>
      <w:r>
        <w:t xml:space="preserve">3.2 Phase 1 — Meta-analysis 1982–2026</w:t>
      </w:r>
    </w:p>
    <w:bookmarkStart w:id="68"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68"/>
    <w:bookmarkStart w:id="69"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69"/>
    <w:bookmarkStart w:id="70"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70"/>
    <w:bookmarkEnd w:id="71"/>
    <w:bookmarkStart w:id="80" w:name="X2c6e58f89857f64ac5f06ae1a6ddd1deb030675"/>
    <w:p>
      <w:pPr>
        <w:pStyle w:val="Heading2"/>
      </w:pPr>
      <w:r>
        <w:t xml:space="preserve">3.3 Phase 2 — Phân tích thực nghiệm đa quốc gia</w:t>
      </w:r>
    </w:p>
    <w:bookmarkStart w:id="72"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72"/>
    <w:bookmarkStart w:id="73"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3"/>
    <w:bookmarkStart w:id="74"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74"/>
    <w:bookmarkStart w:id="78" w:name="Xa7342efa9e4440bffeb50b266b6e2d5207de558"/>
    <w:p>
      <w:pPr>
        <w:pStyle w:val="Heading3"/>
      </w:pPr>
      <w:r>
        <w:t xml:space="preserve">3.3.4 Đo lường biến điều tiết</w:t>
      </w:r>
    </w:p>
    <w:bookmarkStart w:id="75"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75"/>
    <w:bookmarkStart w:id="76"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76"/>
    <w:bookmarkStart w:id="77"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77"/>
    <w:bookmarkEnd w:id="78"/>
    <w:bookmarkStart w:id="79"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79"/>
    <w:bookmarkEnd w:id="80"/>
    <w:bookmarkStart w:id="94" w:name="Xd77d50b091b2ed22b6b5e4ab46917b297ec7074"/>
    <w:p>
      <w:pPr>
        <w:pStyle w:val="Heading2"/>
      </w:pPr>
      <w:r>
        <w:t xml:space="preserve">3.4 Mô hình phân tích</w:t>
      </w:r>
    </w:p>
    <w:bookmarkStart w:id="81"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81"/>
    <w:bookmarkStart w:id="82"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82"/>
    <w:bookmarkStart w:id="83"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83"/>
    <w:bookmarkStart w:id="86" w:name="X1770fb5e1eb3ddd0dda21d7e660ee6e6f352fa1"/>
    <w:p>
      <w:pPr>
        <w:pStyle w:val="Heading3"/>
      </w:pPr>
      <w:r>
        <w:t xml:space="preserve">3.4.4 Mô hình moderation (H2–H6)</w:t>
      </w:r>
    </w:p>
    <w:bookmarkStart w:id="84"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84"/>
    <w:bookmarkStart w:id="85"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85"/>
    <w:bookmarkEnd w:id="86"/>
    <w:bookmarkStart w:id="87"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87"/>
    <w:bookmarkStart w:id="88"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88"/>
    <w:bookmarkStart w:id="89"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89"/>
    <w:bookmarkStart w:id="90"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0"/>
    <w:bookmarkStart w:id="92"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91"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91"/>
    <w:bookmarkEnd w:id="92"/>
    <w:bookmarkStart w:id="93"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93"/>
    <w:bookmarkEnd w:id="94"/>
    <w:bookmarkStart w:id="100" w:name="X8be9b8b49491f51852c13794a1720d171ee5535"/>
    <w:p>
      <w:pPr>
        <w:pStyle w:val="Heading2"/>
      </w:pPr>
      <w:r>
        <w:t xml:space="preserve">3.5 Kiểm định độ vững</w:t>
      </w:r>
    </w:p>
    <w:bookmarkStart w:id="95"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95"/>
    <w:bookmarkStart w:id="96"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96"/>
    <w:bookmarkStart w:id="97"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97"/>
    <w:bookmarkStart w:id="98"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98"/>
    <w:bookmarkStart w:id="99"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99"/>
    <w:bookmarkEnd w:id="100"/>
    <w:bookmarkStart w:id="101"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01"/>
    <w:bookmarkStart w:id="102" w:name="X8731c6039be62b4d182e17d98ac2bec3a898506"/>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pict>
          <v:rect style="width:0;height:1.5pt" o:hralign="center" o:hrstd="t" o:hr="t"/>
        </w:pict>
      </w:r>
    </w:p>
    <w:bookmarkEnd w:id="102"/>
    <w:bookmarkEnd w:id="103"/>
    <w:bookmarkStart w:id="139" w:name="chương-4-kết-quả-nghiên-cứu"/>
    <w:p>
      <w:pPr>
        <w:pStyle w:val="Heading1"/>
      </w:pPr>
      <w:r>
        <w:t xml:space="preserve">CHƯƠNG 4: KẾT QUẢ NGHIÊN CỨU</w:t>
      </w:r>
    </w:p>
    <w:p>
      <w:r>
        <w:pict>
          <v:rect style="width:0;height:1.5pt" o:hralign="center" o:hrstd="t" o:hr="t"/>
        </w:pict>
      </w:r>
    </w:p>
    <w:bookmarkStart w:id="10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04"/>
    <w:bookmarkStart w:id="109" w:name="Xc3d6549fb67845f31a5a24f65669fdeb3bd3911"/>
    <w:p>
      <w:pPr>
        <w:pStyle w:val="Heading2"/>
      </w:pPr>
      <w:r>
        <w:t xml:space="preserve">4.1 Thực trạng quốc tế hóa và hiệu quả hoạt động kinh doanh tại châu Á</w:t>
      </w:r>
    </w:p>
    <w:bookmarkStart w:id="105"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 ≈ 1,03) và nhóm tài nguyên dẫn dắt (Saudi Arabia, Qatar, Kuwait, sd ≈ 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105"/>
    <w:bookmarkStart w:id="106" w:name="X5d3466187510031b2f9edbae396df25939a1a4c"/>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06"/>
    <w:bookmarkStart w:id="107"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107"/>
    <w:bookmarkStart w:id="108"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108"/>
    <w:bookmarkEnd w:id="109"/>
    <w:bookmarkStart w:id="114" w:name="X765431cc2ba8ea17b9f26c144a52de84c0b8508"/>
    <w:p>
      <w:pPr>
        <w:pStyle w:val="Heading2"/>
      </w:pPr>
      <w:r>
        <w:t xml:space="preserve">4.2 Kết quả tổng hợp định lượng — Meta-analysis ba tầng (P6)</w:t>
      </w:r>
    </w:p>
    <w:bookmarkStart w:id="110"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10"/>
    <w:bookmarkStart w:id="111"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0"/>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0"/>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11"/>
    <w:bookmarkStart w:id="112"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112"/>
    <w:bookmarkStart w:id="113"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13"/>
    <w:bookmarkEnd w:id="114"/>
    <w:bookmarkStart w:id="118" w:name="Xb3878aa431a7a1542c531cbd096e6f7bb45602f"/>
    <w:p>
      <w:pPr>
        <w:pStyle w:val="Heading2"/>
      </w:pPr>
      <w:r>
        <w:t xml:space="preserve">4.3 Kết quả bối cảnh thể chế tiên tiến, Đổi mới: Singapore (P4)</w:t>
      </w:r>
    </w:p>
    <w:bookmarkStart w:id="115"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115"/>
    <w:bookmarkStart w:id="116"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16"/>
    <w:bookmarkStart w:id="117"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17"/>
    <w:bookmarkEnd w:id="118"/>
    <w:bookmarkStart w:id="122" w:name="X94814fc7a5dc9750a15cc4bbe9ebfefe5f75317"/>
    <w:p>
      <w:pPr>
        <w:pStyle w:val="Heading2"/>
      </w:pPr>
      <w:r>
        <w:t xml:space="preserve">4.4 Kết quả bối cảnh thể chế trung bình cao: Trung Quốc, 2012–2024 (P5)</w:t>
      </w:r>
    </w:p>
    <w:bookmarkStart w:id="119"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11"/>
        </w:numPr>
        <w:pStyle w:val="Compact"/>
      </w:pPr>
      <w:r>
        <w:rPr>
          <w:bCs/>
          <w:b/>
        </w:rPr>
        <w:t xml:space="preserve">Năm 2012</w:t>
      </w:r>
      <w:r>
        <w:t xml:space="preserve">: TP = 49,37% FSTS</w:t>
      </w:r>
    </w:p>
    <w:p>
      <w:pPr>
        <w:numPr>
          <w:ilvl w:val="0"/>
          <w:numId w:val="1011"/>
        </w:numPr>
        <w:pStyle w:val="Compact"/>
      </w:pPr>
      <w:r>
        <w:rPr>
          <w:bCs/>
          <w:b/>
        </w:rPr>
        <w:t xml:space="preserve">Năm 2024</w:t>
      </w:r>
      <w:r>
        <w:t xml:space="preserve">: TP = 47,19% FSTS</w:t>
      </w:r>
    </w:p>
    <w:p>
      <w:pPr>
        <w:numPr>
          <w:ilvl w:val="0"/>
          <w:numId w:val="1011"/>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19"/>
    <w:bookmarkStart w:id="120"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20"/>
    <w:bookmarkStart w:id="121"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21"/>
    <w:bookmarkEnd w:id="122"/>
    <w:bookmarkStart w:id="127" w:name="Xbcfd430554f00dbefbbe6cf2f35944b447a87b7"/>
    <w:p>
      <w:pPr>
        <w:pStyle w:val="Heading2"/>
      </w:pPr>
      <w:r>
        <w:t xml:space="preserve">4.5 Kết quả bối cảnh chuyển đổi bậc thấp—trung: Việt Nam (P3)</w:t>
      </w:r>
    </w:p>
    <w:bookmarkStart w:id="123"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123"/>
    <w:bookmarkStart w:id="124"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124"/>
    <w:bookmarkStart w:id="125"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125"/>
    <w:bookmarkStart w:id="126"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26"/>
    <w:bookmarkEnd w:id="127"/>
    <w:bookmarkStart w:id="131" w:name="X55199701f1cb1e5a36a24137550ac95e848a636"/>
    <w:p>
      <w:pPr>
        <w:pStyle w:val="Heading2"/>
      </w:pPr>
      <w:r>
        <w:t xml:space="preserve">4.6 Kết quả kiểm định toàn mẫu đa bối cảnh châu Á (P7)</w:t>
      </w:r>
    </w:p>
    <w:bookmarkStart w:id="128"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128"/>
    <w:bookmarkStart w:id="129"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129"/>
    <w:bookmarkStart w:id="130" w:name="X5a095d2d2756e364c0fa5703e6aa5c62834bd73"/>
    <w:p>
      <w:pPr>
        <w:pStyle w:val="Heading3"/>
      </w:pPr>
      <w:r>
        <w:t xml:space="preserve">4.6.3 Điều tiết bởi TCI và DAI trong toàn mẫu</w:t>
      </w:r>
    </w:p>
    <w:p>
      <w:pPr>
        <w:numPr>
          <w:ilvl w:val="0"/>
          <w:numId w:val="1012"/>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2"/>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30"/>
    <w:bookmarkEnd w:id="131"/>
    <w:bookmarkStart w:id="135" w:name="X148edf673f29f3cdc512225d99b03a9e67e1c42"/>
    <w:p>
      <w:pPr>
        <w:pStyle w:val="Heading2"/>
      </w:pPr>
      <w:r>
        <w:t xml:space="preserve">4.7 Kết quả trường hợp biên SIDS — Các nền kinh tế đảo nhỏ đang phát triển (P8)</w:t>
      </w:r>
    </w:p>
    <w:bookmarkStart w:id="132"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132"/>
    <w:bookmarkStart w:id="133"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133"/>
    <w:bookmarkStart w:id="134"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134"/>
    <w:bookmarkEnd w:id="135"/>
    <w:bookmarkStart w:id="136"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136"/>
    <w:bookmarkStart w:id="13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137">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pict>
          <v:rect style="width:0;height:1.5pt" o:hralign="center" o:hrstd="t" o:hr="t"/>
        </w:pict>
      </w:r>
    </w:p>
    <w:bookmarkEnd w:id="138"/>
    <w:bookmarkEnd w:id="139"/>
    <w:bookmarkStart w:id="170" w:name="chương-5-kết-luận-và-đề-xuất"/>
    <w:p>
      <w:pPr>
        <w:pStyle w:val="Heading1"/>
      </w:pPr>
      <w:r>
        <w:t xml:space="preserve">CHƯƠNG 5: KẾT LUẬN VÀ ĐỀ XUẤT</w:t>
      </w:r>
    </w:p>
    <w:p>
      <w:r>
        <w:pict>
          <v:rect style="width:0;height:1.5pt" o:hralign="center" o:hrstd="t" o:hr="t"/>
        </w:pict>
      </w:r>
    </w:p>
    <w:bookmarkStart w:id="14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40"/>
    <w:bookmarkStart w:id="146" w:name="Xa49aadb40c127a83ebe1d91ac222e3bdb8617c2"/>
    <w:p>
      <w:pPr>
        <w:pStyle w:val="Heading2"/>
      </w:pPr>
      <w:r>
        <w:t xml:space="preserve">5.1 Bàn luận kết quả theo khung lý thuyết CDCM</w:t>
      </w:r>
    </w:p>
    <w:bookmarkStart w:id="14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41"/>
    <w:bookmarkStart w:id="14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42"/>
    <w:bookmarkStart w:id="14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143"/>
    <w:bookmarkStart w:id="14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44"/>
    <w:bookmarkStart w:id="14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45"/>
    <w:bookmarkEnd w:id="146"/>
    <w:bookmarkStart w:id="150" w:name="X03371f9bf2ea7aa70b56c3fc263517b182b20aa"/>
    <w:p>
      <w:pPr>
        <w:pStyle w:val="Heading2"/>
      </w:pPr>
      <w:r>
        <w:t xml:space="preserve">5.2 So sánh với nghiên cứu trước đây</w:t>
      </w:r>
    </w:p>
    <w:bookmarkStart w:id="14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147"/>
    <w:bookmarkStart w:id="14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literature Lu và Beamish.</w:t>
      </w:r>
    </w:p>
    <w:bookmarkEnd w:id="148"/>
    <w:bookmarkStart w:id="14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49"/>
    <w:bookmarkEnd w:id="150"/>
    <w:bookmarkStart w:id="154" w:name="X358b70cb0587073926db05a46d0ec729e84bb90"/>
    <w:p>
      <w:pPr>
        <w:pStyle w:val="Heading2"/>
      </w:pPr>
      <w:r>
        <w:t xml:space="preserve">5.3 Đóng góp lý thuyết</w:t>
      </w:r>
    </w:p>
    <w:bookmarkStart w:id="15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51"/>
    <w:bookmarkStart w:id="15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bẫy quốc tế hóa bắt buộc, mà không có turning point để thoát khỏi.</w:t>
      </w:r>
    </w:p>
    <w:bookmarkEnd w:id="152"/>
    <w:bookmarkStart w:id="153" w:name="X695fad62bc7cbfea9ebc37ddb6a97fa50099db8"/>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153"/>
    <w:bookmarkEnd w:id="154"/>
    <w:bookmarkStart w:id="159" w:name="X4f070f4201e8508645625eda6493d60cd486f27"/>
    <w:p>
      <w:pPr>
        <w:pStyle w:val="Heading2"/>
      </w:pPr>
      <w:r>
        <w:t xml:space="preserve">5.4 Đề xuất chính sách và quản trị</w:t>
      </w:r>
    </w:p>
    <w:bookmarkStart w:id="15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55"/>
    <w:bookmarkStart w:id="15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3"/>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13"/>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3"/>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3"/>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56"/>
    <w:bookmarkStart w:id="15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157"/>
    <w:bookmarkStart w:id="15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158"/>
    <w:bookmarkEnd w:id="159"/>
    <w:bookmarkStart w:id="164" w:name="Xf80a1234b44a7d4089382a2631c25010c604edb"/>
    <w:p>
      <w:pPr>
        <w:pStyle w:val="Heading2"/>
      </w:pPr>
      <w:r>
        <w:t xml:space="preserve">5.5 Hạn chế và hướng nghiên cứu tương lai</w:t>
      </w:r>
    </w:p>
    <w:bookmarkStart w:id="16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60"/>
    <w:bookmarkStart w:id="16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61"/>
    <w:bookmarkStart w:id="16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62"/>
    <w:bookmarkStart w:id="16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163"/>
    <w:bookmarkEnd w:id="164"/>
    <w:bookmarkStart w:id="169" w:name="X3298e6974611109580cc451c12e8b21e51ab986"/>
    <w:p>
      <w:pPr>
        <w:pStyle w:val="Heading2"/>
      </w:pPr>
      <w:r>
        <w:t xml:space="preserve">5.6 Kết luận</w:t>
      </w:r>
    </w:p>
    <w:bookmarkStart w:id="165"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14"/>
        </w:numPr>
      </w:pPr>
      <w:r>
        <w:rPr>
          <w:bCs/>
          <w:b/>
        </w:rPr>
        <w:t xml:space="preserve">P1 và P2</w:t>
      </w:r>
      <w:r>
        <w:t xml:space="preserve"> </w:t>
      </w:r>
      <w:r>
        <w:t xml:space="preserve">(đã công bố —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4"/>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14"/>
        </w:numPr>
      </w:pPr>
      <w:r>
        <w:rPr>
          <w:bCs/>
          <w:b/>
        </w:rPr>
        <w:t xml:space="preserve">P4</w:t>
      </w:r>
      <w:r>
        <w:t xml:space="preserve"> </w:t>
      </w:r>
      <w:r>
        <w:t xml:space="preserve">(Mar et al., 2026): phân tích Singapore (Advanced Innovation), xác nhận inverted-U với TP ≈ 88,6% (rộng CI), DAI khuếch đại tại mức FSTS cao.</w:t>
      </w:r>
    </w:p>
    <w:p>
      <w:pPr>
        <w:numPr>
          <w:ilvl w:val="0"/>
          <w:numId w:val="1014"/>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4"/>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4"/>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4"/>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165"/>
    <w:bookmarkStart w:id="16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166"/>
    <w:bookmarkStart w:id="16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67"/>
    <w:bookmarkStart w:id="16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pict>
          <v:rect style="width:0;height:1.5pt" o:hralign="center" o:hrstd="t" o:hr="t"/>
        </w:pict>
      </w:r>
    </w:p>
    <w:bookmarkEnd w:id="168"/>
    <w:bookmarkEnd w:id="169"/>
    <w:bookmarkEnd w:id="1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7"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137"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Tác động của quốc tế hóa đến hiệu quả hoạt động kinh doanh của doanh nghiệp tại châu Á: Vai trò điều tiết của thể chế, năng lực số và đặc điểm nhà quản trị</dc:title>
  <dc:creator>Nghiên cứu sinh, Đại học Cần Thơ</dc:creator>
  <cp:keywords/>
  <dcterms:created xsi:type="dcterms:W3CDTF">2026-05-21T08:31:07Z</dcterms:created>
  <dcterms:modified xsi:type="dcterms:W3CDTF">2026-05-21T08:31:07Z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