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chương-1-giới-thiệu"/>
    <w:p>
      <w:pPr>
        <w:pStyle w:val="Heading1"/>
      </w:pPr>
      <w:r>
        <w:t xml:space="preserve">CHƯƠNG 1: GIỚI THIỆU</w:t>
      </w:r>
    </w:p>
    <w:p>
      <w:r>
        <w:pict>
          <v:rect style="width:0;height:1.5pt" o:hralign="center" o:hrstd="t" o:hr="t"/>
        </w:pict>
      </w:r>
    </w:p>
    <w:bookmarkStart w:id="20" w:name="X13b13dcb632e299e7aab4c6eaebd9a76fa1beb2"/>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thế kỷ nghiên cứu đã tích lũy nhằm trả lời câu hỏi cốt lõi: liệu quốc tế hóa có thực sự cải thiện hiệu quả hoạt động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internationalization–firm performance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I–P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digitization đến digitalization và digital transformation. Tuy nhiên, phần lớn bằng chứng thực nghiệm hiện có về vai trò của năng lực số trong quan hệ I–P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Institutional Theory (North, 1990; Khanna &amp; Palepu, 2010) khẳng định rằng thể chế tạo ra cấu trúc khuyến khích và chi phí giao dịch khác nhau giữa các quốc gia. Ở các thị trường mới nổi, "institutional voids",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gradient thể chế đặc biệt phong phú để kiểm định. Luận án này tiếp cận gradient đó một cách hệ thống thông qua khung phân loại thể chế 6 nhóm được phát triển cho luận án này, gọi tắt là ICRV (Institutional Context Regime Variation — Biến thiên chế độ bối cảnh thể chế).</w:t>
      </w:r>
    </w:p>
    <w:p>
      <w:pPr>
        <w:pStyle w:val="BodyText"/>
      </w:pPr>
      <w:r>
        <w:t xml:space="preserve">Cuối cùng, nhà quản trị cấp cao đóng vai trò không thể bỏ qua trong việc hình thành chiến lược và kết quả quốc tế hóa. Upper Echelons Theory (Hambrick &amp; Mason, 1984) khẳng định rằng quyết định chiến lược phản ánh đặc điểm nhận thức, kinh nghiệm và giá trị của nhà quản trị. Kinh nghiệm quốc tế giúp nhà quản trị nhận diện cơ hội và giảm chi phí của liability of foreignness,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I–P trong bối cảnh châu Á.</w:t>
      </w:r>
    </w:p>
    <w:p>
      <w:r>
        <w:pict>
          <v:rect style="width:0;height:1.5pt" o:hralign="center" o:hrstd="t" o:hr="t"/>
        </w:pict>
      </w:r>
    </w:p>
    <w:bookmarkEnd w:id="20"/>
    <w:bookmarkStart w:id="21" w:name="X53e2415d4fb45baf8cd2a412e42535181010810"/>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của doanh nghiệp vẫn chưa thống nhất và tản mạn. Các phân tích tổng hợp (meta-analyses) về quan hệ I–P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I–P phụ thuộc sâu sắc vào điều kiện bối cảnh. Arte và Larimo (2022) lập luận rằng heterogeneity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heterogeneity cao đó. Các nghiên cứu hiện tại thường chọn một hoặc hai lý thuyết làm nền, dẫn đến mô hình không đủ đa tầng để nắm bắt sự phức tạp thực tế. Uppsala model giải thích chi phí học hỏi nhưng không đủ để xử lý vai trò của thể chế; RBV giải thích sự khác biệt năng lực nhưng bỏ qua macro-context; Institutional Theory giải thích bối cảnh vĩ mô nhưng không tích hợp đặc điểm cá nhân nhà quản trị. Không một lý thuyết nào đứng riêng có thể giải thích đầy đủ heterogeneity đó. Khoảng trống thứ hai là sự đồng nhất không hợp lý giữa hai construct số khác nhau về bản chất: technological capability, chiều sâu năng lực công nghệ nhập vào tổ chức, và digital adoption, mức độ áp dụng công cụ số bề mặt trong hoạt động kinh doanh. Nhiều nghiên cứu trước gộp hai construct này thành một chỉ số composite duy nhất, điều này làm giảm độ chính xác của kết luận và có thể che khuất các cơ chế tác động khác nhau (Bharadwaj et al., 2013; Coltman et al., 2008; Verhoef et al., 2021). Khoảng trống thứ ba là thiếu bằng chứng cross-country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Luận án này được thiết kế để giải quyết ba khoảng trống đó bằng cách xây dựng và kiểm định một khung giải thích đa tầng cho quan hệ I–P tại châu Á, với thiết kế mixed synthesis-empirical kết hợp meta-analysis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heterogeneity cao trong quan hệ I–P.</w:t>
      </w:r>
    </w:p>
    <w:p>
      <w:r>
        <w:pict>
          <v:rect style="width:0;height:1.5pt" o:hralign="center" o:hrstd="t" o:hr="t"/>
        </w:pict>
      </w:r>
    </w:p>
    <w:bookmarkEnd w:id="21"/>
    <w:bookmarkStart w:id="22" w:name="Xddd0cf747c0a67b01e6dbf6ccd3d5a26093524b"/>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meta-analytic về mối quan hệ I–P trong giai đoạn 1982–2026, xác định tác động tổng hợp, mức độ dị biệt và các nhân tố điều tiết (moderators) chính giải thích heterogeneity trong literature.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I–P vận hành khác nhau theo bối cảnh quốc gia. Mục tiêu cụ thể thứ ba là mở rộng phân tích sang 47–49 nền kinh tế châu Á và Thái Bình Dương (bao gồm 6–8 nền kinh tế Pacific SIDS) để kiểm định khả năng khái quát hóa của các phát hiện trên phạm vi rộng, kế thừa và mở rộng từ pool 17 nền kinh tế trong Do và Phan (2026a). Mục tiêu cụ thể thứ tư là phân tích vai trò điều tiết của ba nhóm biến: thể chế (bao gồm các sub-regime ICRV và các chỉ số rào cản thể chế), năng lực số (phân biệt rõ technological capability index, TCI và chỉ số chấp nhận số, digital adoption index — DAI), và đặc điểm nhà quản trị cấp cao (kinh nghiệm và giới tính).</w:t>
      </w:r>
    </w:p>
    <w:p>
      <w:r>
        <w:pict>
          <v:rect style="width:0;height:1.5pt" o:hralign="center" o:hrstd="t" o:hr="t"/>
        </w:pict>
      </w:r>
    </w:p>
    <w:bookmarkEnd w:id="22"/>
    <w:bookmarkStart w:id="23" w:name="X87fe9b92bff0b7de065d8ce9f99db45fc20ac37"/>
    <w:p>
      <w:pPr>
        <w:pStyle w:val="Heading2"/>
      </w:pPr>
      <w:r>
        <w:t xml:space="preserve">1.4 Câu hỏi nghiên cứu</w:t>
      </w:r>
    </w:p>
    <w:p>
      <w:pPr>
        <w:pStyle w:val="FirstParagraph"/>
      </w:pPr>
      <w:r>
        <w:t xml:space="preserve">Câu hỏi nghiên cứu trung tâm của luận án là: Quốc tế hóa ảnh hưởng đến hiệu quả hoạt động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của doanh nghiệp trong literature 1982–2026 là gì, mức độ dị biệt ở mức nào, và những moderators nào giải thích heterogeneity đó một cách có hệ thống? Câu hỏi nghiên cứu thứ hai (RQ2) là: Trong từng bối cảnh quốc gia cụ thể bao gồm Singapore, Việt Nam và Trung Quốc, mối quan hệ I–P vận hành theo những cơ chế đặc thù nào và sự phi tuyến có biểu hiện ra sao? Câu hỏi nghiên cứu thứ ba (RQ3) là: Trên phạm vi đa quốc gia châu Á bao gồm 47–49 nền kinh tế châu Á và Thái Bình Dương (bao gồm 6–8 nền kinh tế Pacific SIDS), vai trò điều tiết của chỉ số chấp nhận số (DAI) và technological capability index (TCI) có khái quát hóa được không, và hai construct này có thực sự vận hành theo các cơ chế khác nhau không? Câu hỏi nghiên cứu thứ tư (RQ4) là: Vai trò của thể chế, đo bằng sub-regime ICRV, cùng với sự phân biệt giữa TCI và DAI, và đặc điểm nhà quản trị trong việc điều tiết mối quan hệ I–P là gì, và sự tương tác ba chiều giữa ba tầng đó có ý nghĩa như thế nào?</w:t>
      </w:r>
    </w:p>
    <w:p>
      <w:r>
        <w:pict>
          <v:rect style="width:0;height:1.5pt" o:hralign="center" o:hrstd="t" o:hr="t"/>
        </w:pict>
      </w:r>
    </w:p>
    <w:bookmarkEnd w:id="23"/>
    <w:bookmarkStart w:id="27" w:name="X65498bc8ca053915d52029abf6405df9e172fcf"/>
    <w:p>
      <w:pPr>
        <w:pStyle w:val="Heading2"/>
      </w:pPr>
      <w:r>
        <w:t xml:space="preserve">1.5 Đối tượng và phạm vi nghiên cứu</w:t>
      </w:r>
    </w:p>
    <w:bookmarkStart w:id="24" w:name="X8b3240eec70eb02636d2fdc8bdc1a88ab724461"/>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24"/>
    <w:bookmarkStart w:id="25" w:name="Xdda8bea219e201096fb69350311d81779178d86"/>
    <w:p>
      <w:pPr>
        <w:pStyle w:val="Heading3"/>
      </w:pPr>
      <w:r>
        <w:t xml:space="preserve">1.5.2 Phạm vi không gian</w:t>
      </w:r>
    </w:p>
    <w:p>
      <w:pPr>
        <w:pStyle w:val="FirstParagraph"/>
      </w:pPr>
      <w:r>
        <w:t xml:space="preserve">Phạm vi không gian chính của nghiên cứu bao gồm</w:t>
      </w:r>
      <w:r>
        <w:t xml:space="preserve"> </w:t>
      </w:r>
      <w:r>
        <w:rPr>
          <w:bCs/>
          <w:b/>
        </w:rPr>
        <w:t xml:space="preserve">47–49 nền kinh tế châu Á và Thái Bình Dương</w:t>
      </w:r>
      <w:r>
        <w:t xml:space="preserve"> </w:t>
      </w:r>
      <w:r>
        <w:t xml:space="preserve">có dữ liệu trong Khảo sát Doanh nghiệp của Ngân hàng Thế giới (World Bank Enterprise Surveys — WBES), được phân loại và tổ chức theo 6 sub-regime trong khung ICRV. Sáu sub-regime bao gồm: (i) Advanced Innovation-Driven, đại diện là Singapore, Hàn Quốc và Đài Loan; (ii) Advanced Resource-Driven, đại diện là các nền kinh tế GCC; (iii) Upper-middle, đại diện là Trung Quốc và Malaysia; (iv) Emerging, bao gồm Việt Nam và các nền kinh tế ASEAN đang phát triển; (v) Frontier, bao gồm các nền kinh tế kém phát triển nhất châu Á như Campuchia, Nepal và Afghanistan; và (vi) Pacific SIDS (Small Island Developing States), bao gồm 9 nền kinh tế đảo nhỏ Thái Bình Dương được đưa vào phân tích để kiểm định các điều kiện biên cực đoan của quan hệ I–P. Nhật Bản không nằm trong phạm vi thực nghiệm của luận án do cấu trúc dữ liệu WBES không bao phủ Nhật Bản đầy đủ.</w:t>
      </w:r>
    </w:p>
    <w:bookmarkEnd w:id="25"/>
    <w:bookmarkStart w:id="26" w:name="Xeaaa108478ee5a5cfd2730dcd2a679712e4d50e"/>
    <w:p>
      <w:pPr>
        <w:pStyle w:val="Heading3"/>
      </w:pPr>
      <w:r>
        <w:t xml:space="preserve">1.5.3 Phạm vi thời gian</w:t>
      </w:r>
    </w:p>
    <w:p>
      <w:pPr>
        <w:pStyle w:val="FirstParagraph"/>
      </w:pPr>
      <w:r>
        <w:t xml:space="preserve">Phạm vi thời gian của nghiên cứu có hai mức. Đối với phase meta-analysis, luận án tổng hợp literature trong giai đoạn 1982–2026, bao quát toàn bộ chương trình nghiên cứu về quan hệ I–P từ khi các nghiên cứu thực nghiệm đầu tiên xuất hiện đến thời điểm hoàn thành luận án. Đối với phase phân tích thực nghiệm đa quốc gia, luận án sử dụng dữ liệu WBES trong giai đoạn 2009–2025, bao gồm 101.185 doanh nghiệp với 108 cặp quốc gia-năm trải qua 14 mốc khảo sát. Dữ liệu WBES từ ba thế hệ schema (PICS3 giai đoạn 2009–2012, Standardized giai đoạn 2013–2017, và BREADY/BEE giai đoạn 2018–2025) đã được hòa hợp để đảm bảo tính nhất quán trong đo lường biến qua các wave khảo sát.</w:t>
      </w:r>
    </w:p>
    <w:p>
      <w:r>
        <w:pict>
          <v:rect style="width:0;height:1.5pt" o:hralign="center" o:hrstd="t" o:hr="t"/>
        </w:pict>
      </w:r>
    </w:p>
    <w:bookmarkEnd w:id="26"/>
    <w:bookmarkEnd w:id="27"/>
    <w:bookmarkStart w:id="28" w:name="X86a5b257fb89080e1266fb25f16d85a512b88ba"/>
    <w:p>
      <w:pPr>
        <w:pStyle w:val="Heading2"/>
      </w:pPr>
      <w:r>
        <w:t xml:space="preserve">1.6 Phương pháp luận và phương pháp nghiên cứu</w:t>
      </w:r>
    </w:p>
    <w:p>
      <w:pPr>
        <w:pStyle w:val="FirstParagraph"/>
      </w:pPr>
      <w:r>
        <w:t xml:space="preserve">Luận án áp dụng thiết kế nghiên cứu mixed synthesis-empirical, sự kết hợp giữa meta-analysis và phân tích thực nghiệm đa quốc gia, nhằm trả lời bốn câu hỏi nghiên cứu đã đặt ra. Thiết kế này không chỉ đơn thuần là sử dụng hai phương pháp song song, mà tạo ra một đối thoại hai chiều: meta-analysis cung cấp tổng quan có hệ thống về trạng thái bằng chứng và xác định các moderator quan trọng trong literature,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phase meta-analysis sử dụng random-effects model với Fisher's z transformation, phân tích nhóm con (subgroup analysis) theo chế độ thể chế, và các kiểm định publication bias bao gồm Egger's test và Begg–Mazumdar rank correlation test. Phase thực nghiệm sử dụng hồi quy OLS với sai số chuẩn robust HC1/HC3, mô hình bậc hai và bậc ba để kiểm định phi tuyến, tương tác hai chiều và ba chiều để kiểm định moderation, cùng với fixed effects theo quốc gia và năm. Kiểm định Lind–Mehlum U-test được áp dụng để xác nhận dạng inverted-U và xác định điểm turning point trong quan hệ phi tuyến (Haans et al., 2016; Lind &amp; Mehlum, 2010).</w:t>
      </w:r>
    </w:p>
    <w:p>
      <w:r>
        <w:pict>
          <v:rect style="width:0;height:1.5pt" o:hralign="center" o:hrstd="t" o:hr="t"/>
        </w:pict>
      </w:r>
    </w:p>
    <w:bookmarkEnd w:id="28"/>
    <w:bookmarkStart w:id="29" w:name="X3c54937ab54b446680144131a3edf28950c0543"/>
    <w:p>
      <w:pPr>
        <w:pStyle w:val="Heading2"/>
      </w:pPr>
      <w:r>
        <w:t xml:space="preserve">1.7 Giả thuyết khoa học (tóm tắt)</w:t>
      </w:r>
    </w:p>
    <w:p>
      <w:pPr>
        <w:pStyle w:val="FirstParagraph"/>
      </w:pPr>
      <w:r>
        <w:t xml:space="preserve">Dựa trên khung lý thuyết tích hợp đa tầng bao gồm Uppsala model, RBV, Institutional Theory, Upper Echelons Theory và digital capability lens, luận án đề xuất hệ giả thuyết khoa học với sáu giả thuyết trọng tâm. Quan hệ nền giữa quốc tế hóa và hiệu quả hoạt động doanh nghiệp mang dạng phi tuyến, cụ thể là dạng inverted-U, với chi phí thâm nhập và thích nghi cao ở giai đoạn đầu và lợi ích quy mô, học hỏi và đa dạng hóa thị trường ở giai đoạn sau, đến khi chi phí điều phối vượt quá lợi ích sẽ dẫn đến sự suy giảm hiệu quả. Technological capability index (TCI) điều tiết dương quan hệ I–P bằng cách mở rộng biên thích nghi và tăng cường khả năng khai thác lợi thế cạnh tranh ở thị trường quốc tế. Chỉ số chấp nhận số (DAI), được hiểu là proxy foundational digital adoption,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sub-regime ICRV, điều tiết cả dạng và độ lớn của quan hệ I–P, tạo ra gradient từ tác động dương lớn ở Advanced Innovation-Driven đến tác động âm ở Frontier và Pacific SIDS extreme. Đặc điểm nhà quản trị cấp cao, cụ thể là kinh nghiệm quốc tế và đa dạng giới tính, điều tiết dương quan hệ I–P thông qua cơ chế tăng cường nhận diện cơ hội và quản trị rủi ro. Ngoài sáu giả thuyết trọng tâm H1–H6, luận án phát biểu thêm giả thuyết điều kiện biên H1b: tại các nền kinh tế Pacific SIDS (ICRV Nhóm VI), nơi ba điều kiện cấu trúc tối thiểu đồng thời bị vi phạm, thị trường nội địa quá nhỏ, chi phí thương mại cực cao, và thiếu hỗ trợ thể chế, quan hệ I–P chuyển từ dạng chữ U ngược sang quan hệ</w:t>
      </w:r>
      <w:r>
        <w:t xml:space="preserve"> </w:t>
      </w:r>
      <w:r>
        <w:rPr>
          <w:bCs/>
          <w:b/>
        </w:rPr>
        <w:t xml:space="preserve">âm đơn điệu không có điểm uốn</w:t>
      </w:r>
      <w:r>
        <w:t xml:space="preserve">, được gọi là gánh nặng quốc tế hóa bắt buộc (Forced Internationalization Penalty — FIP). Chi tiết toàn bộ hệ giả thuyết H1–H6 và H1b được trình bày đầy đủ trong Chương 2 của luận án.</w:t>
      </w:r>
    </w:p>
    <w:p>
      <w:r>
        <w:pict>
          <v:rect style="width:0;height:1.5pt" o:hralign="center" o:hrstd="t" o:hr="t"/>
        </w:pict>
      </w:r>
    </w:p>
    <w:bookmarkEnd w:id="29"/>
    <w:bookmarkStart w:id="33" w:name="X39da0168eea83083f00ccda398c6ca752284a3b"/>
    <w:p>
      <w:pPr>
        <w:pStyle w:val="Heading2"/>
      </w:pPr>
      <w:r>
        <w:t xml:space="preserve">1.8 Ý nghĩa khoa học và thực tiễn</w:t>
      </w:r>
    </w:p>
    <w:bookmarkStart w:id="30" w:name="Xb13f208cd7e2a7b8ddfa14daa5f68945dc98c62"/>
    <w:p>
      <w:pPr>
        <w:pStyle w:val="Heading3"/>
      </w:pPr>
      <w:r>
        <w:t xml:space="preserve">1.8.1 Đóng góp lý thuyết</w:t>
      </w:r>
    </w:p>
    <w:p>
      <w:pPr>
        <w:pStyle w:val="FirstParagraph"/>
      </w:pPr>
      <w:r>
        <w:t xml:space="preserve">Về mặt lý thuyết, luận án đóng góp vào literature kinh doanh quốc tế theo ba hướng chính. Hướng thứ nhất là tích hợp bốn lý thuyết kinh điển, Uppsala model, Resource-Based View, Institutional Theory và Upper Echelons Theory, vào một khung giải thích đa tầng thống nhất, bổ sung bởi digital capability lens để phản ánh chuyển đổi số đương đại. Khung này không chỉ là sự ghép nối cơ học các lý thuyết mà là một kiến trúc lý thuyết có tính nhất quán nội tại, trong đó mỗi tầng giải thích một loại heterogeneity khác nhau trong quan hệ I–P. Hướng thứ hai là phân tách rõ ràng technological capability (TCI) và chỉ số chấp nhận số (DAI) như hai construct lý thuyết độc lập, dựa trên các nền tảng khái niệm khác nhau từ Bharadwaj et al. (2013), Verhoef et al. (2021), và Coltman et al. (2008). Sự phân tách này bổ sung vào thiếu hụt khái niệm quan trọng trong literature về số hóa và quốc tế hóa. Hướng thứ ba là tái định vị Uppsala model trong bối cảnh kỷ nguyên AI bằng cách mở rộng cơ chế học hỏi để bao gồm "data-augmented learning", phù hợp với xu hướng digitally-facilitated internationalization (Banalieva &amp; Dhanaraj, 2019; Yang et al., 2025). Hướng thứ tư là đề xuất và đặt tên lý thuyết cho</w:t>
      </w:r>
      <w:r>
        <w:t xml:space="preserve"> </w:t>
      </w:r>
      <w:r>
        <w:rPr>
          <w:bCs/>
          <w:b/>
        </w:rPr>
        <w:t xml:space="preserve">gánh nặng quốc tế hóa bắt buộc (Forced Internationalization Penalty, FIP)</w:t>
      </w:r>
      <w:r>
        <w:t xml:space="preserve">, một construct lý thuyết mới chưa được định danh trong literature kinh doanh quốc tế, như điều kiện biên cực đoan của mô hình chữ U ngược khi cả ba tầng của khung CDCM (thể chế, năng lực, quản trị) đồng thời ở mức tối thiểu. Bằng chứng thực nghiệm từ chín nền kinh tế Pacific SIDS xác nhận quan hệ âm đơn điệu không có điểm uốn, mở ra hướng nghiên cứu mới về điều kiện biên của lý thuyết quốc tế hóa.</w:t>
      </w:r>
    </w:p>
    <w:bookmarkEnd w:id="30"/>
    <w:bookmarkStart w:id="31" w:name="X3d1e24e5d7dc17cac50b0e64eb2b896b8e15054"/>
    <w:p>
      <w:pPr>
        <w:pStyle w:val="Heading3"/>
      </w:pPr>
      <w:r>
        <w:t xml:space="preserve">1.8.2 Đóng góp phương pháp</w:t>
      </w:r>
    </w:p>
    <w:p>
      <w:pPr>
        <w:pStyle w:val="FirstParagraph"/>
      </w:pPr>
      <w:r>
        <w:t xml:space="preserve">Về mặt phương pháp, luận án đóng góp theo hai hướng. Hướng thứ nhất là thiết kế mixed synthesis-empirical kết hợp meta-analysis và phân tích đa quốc gia, tạo ra khả năng đối chiếu giữa bằng chứng tổng hợp từ literature toàn cầu và bằng chứng thực nghiệm từ bối cảnh châu Á. Hướng thứ hai là phát triển và áp dụng khung phân loại thể chế ICRV cho 47 nền kinh tế, cung cấp một công cụ phân loại mới có ứng dụng tiềm năng trong nhiều nghiên cứu tương lai về moderating effect của thể chế trong literature kinh doanh quốc tế.</w:t>
      </w:r>
    </w:p>
    <w:bookmarkEnd w:id="31"/>
    <w:bookmarkStart w:id="32" w:name="X0302103971dcdc6779b36845a96890c9d013149"/>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digital adoption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 "digital shield effect", trong đó năng lực số làm giảm tác động tiêu cực của rào cản thể chế đối với doanh nghiệp quốc tế hóa (Do &amp; Phan, 2026a). Cơ chế này được luận án kiểm định trên phạm vi rộng hơn với 47–49 nền kinh tế châu Á và Thái Bình Dương.</w:t>
      </w:r>
    </w:p>
    <w:p>
      <w:r>
        <w:pict>
          <v:rect style="width:0;height:1.5pt" o:hralign="center" o:hrstd="t" o:hr="t"/>
        </w:pict>
      </w:r>
    </w:p>
    <w:bookmarkEnd w:id="32"/>
    <w:bookmarkEnd w:id="33"/>
    <w:bookmarkStart w:id="34" w:name="X6442ea4641bb5af7be5e0a47286ea0a65645731"/>
    <w:p>
      <w:pPr>
        <w:pStyle w:val="Heading2"/>
      </w:pPr>
      <w:r>
        <w:t xml:space="preserve">1.9 Tính mới của đề tài</w:t>
      </w:r>
    </w:p>
    <w:p>
      <w:pPr>
        <w:pStyle w:val="FirstParagraph"/>
      </w:pPr>
      <w:r>
        <w:t xml:space="preserve">Luận án có năm điểm mới so với các công trình nghiên cứu trước đây. Điểm mới thứ nhất là đề xuất khung tích hợp đa tầng cho quan hệ I–P trong bối cảnh châu Á, kết hợp bốn lý thuyết kinh điển với digital capability lens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construct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construct có bản chất khác nhau. Điểm mới thứ ba là phát triển và áp dụng khung phân loại thể chế ICRV với 6 sub-regime cho 47 nền kinh tế, bao gồm cả 6 nền kinh tế Pacific SIDS liền kề như boundary case cực đoan, đây là lần đầu tiên một hệ thống phân loại đủ mịn như vậy được áp dụng trong nghiên cứu thực nghiệm về quan hệ I–P tại châu Á. Điểm mới thứ tư là pool dữ liệu lớn nhất từ trước đến nay cho nghiên cứu đa quốc gia về quan hệ I–P tại châu Á, với 101.185 doanh nghiệp từ 47–49 nền kinh tế châu Á và Thái Bình Dương, mở rộng đáng kể từ pool 17 nước (Do &amp; Phan, 2026a) là nền tảng hiện có lớn nhất trước khi luận án hoàn thành. Điểm mới thứ năm là kiểm định temporal stability của turning point trong quan hệ I–P tại Trung Quốc, cho phép đánh giá liệu cấu trúc phi tuyến đó có ổn định qua hơn một thập kỷ chuyển đổi số hay không. Kết quả phân tích của luận án cho thấy turning point tương đối ổn định qua hai thời điểm quan sát, cung cấp bằng chứng về tính bền vững của cấu trúc I–P phi tuyến ở Trung Quốc dù bối cảnh kinh tế có nhiều thay đổi. Điểm mới thứ sáu là phát hiện và đặt tên lý thuyết cho</w:t>
      </w:r>
      <w:r>
        <w:t xml:space="preserve"> </w:t>
      </w:r>
      <w:r>
        <w:rPr>
          <w:bCs/>
          <w:b/>
        </w:rPr>
        <w:t xml:space="preserve">gánh nặng quốc tế hóa bắt buộc (Forced Internationalization Penalty, FIP)</w:t>
      </w:r>
      <w:r>
        <w:t xml:space="preserve"> </w:t>
      </w:r>
      <w:r>
        <w:t xml:space="preserve">tại chín nền kinh tế Pacific SIDS, lần đầu tiên trong literature kinh doanh quốc tế, một trường hợp quan hệ I–P âm đơn điệu không có điểm uốn được ghi nhận và biện minh lý thuyết bằng ba điều kiện cấu trúc vi phạm đồng thời, mở ra hướng nghiên cứu mới về điều kiện biên của các lý thuyết quốc tế hóa phổ quát.</w:t>
      </w:r>
    </w:p>
    <w:p>
      <w:r>
        <w:pict>
          <v:rect style="width:0;height:1.5pt" o:hralign="center" o:hrstd="t" o:hr="t"/>
        </w:pict>
      </w:r>
    </w:p>
    <w:bookmarkEnd w:id="34"/>
    <w:bookmarkStart w:id="35" w:name="X6c4b07320300cc108639920671c62ca27abf972"/>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meta-analysis cập nhật 1982–2026, phân tích theo bối cảnh quốc gia cụ thể, và phân tích đa quốc gia capstone trên pool đầy đủ 47–49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Roadmap sáu nghiên cứu thành phần (P3–P8):</w:t>
      </w:r>
      <w:r>
        <w:t xml:space="preserve"> </w:t>
      </w:r>
      <w:r>
        <w:t xml:space="preserve">Luận án tích hợp sáu nghiên cứu thành phần được công bố hoặc đang trong quá trình xem xét tại các tạp chí ISI/Scopus.</w:t>
      </w:r>
      <w:r>
        <w:t xml:space="preserve"> </w:t>
      </w:r>
      <w:r>
        <w:rPr>
          <w:bCs/>
          <w:b/>
        </w:rPr>
        <w:t xml:space="preserve">P3</w:t>
      </w:r>
      <w:r>
        <w:t xml:space="preserve"> </w:t>
      </w:r>
      <w:r>
        <w:t xml:space="preserve">(Việt Nam — JABS, under review): kiểm định inverted-U tại Nhóm IV ICRV, turning point = 39,3–46,2% FSTS, TCI là level-shifter có ý nghĩa.</w:t>
      </w:r>
      <w:r>
        <w:t xml:space="preserve"> </w:t>
      </w:r>
      <w:r>
        <w:rPr>
          <w:bCs/>
          <w:b/>
        </w:rPr>
        <w:t xml:space="preserve">P4</w:t>
      </w:r>
      <w:r>
        <w:t xml:space="preserve"> </w:t>
      </w:r>
      <w:r>
        <w:t xml:space="preserve">(Singapore — MIR, under review): kiểm định tại Nhóm I ICRV, turning point ≈ 88,6%, DAI Tier-1+2 khuếch đại đường cong I→P.</w:t>
      </w:r>
      <w:r>
        <w:t xml:space="preserve"> </w:t>
      </w:r>
      <w:r>
        <w:rPr>
          <w:bCs/>
          <w:b/>
        </w:rPr>
        <w:t xml:space="preserve">P5</w:t>
      </w:r>
      <w:r>
        <w:t xml:space="preserve"> </w:t>
      </w:r>
      <w:r>
        <w:t xml:space="preserve">(Trung Quốc — IJOEM, under review): kiểm định temporal stability, turning point ổn định qua 2012–2024 (≈ 48,78%, Paternoster z = 0,82, p = ,412).</w:t>
      </w:r>
      <w:r>
        <w:t xml:space="preserve"> </w:t>
      </w:r>
      <w:r>
        <w:rPr>
          <w:bCs/>
          <w:b/>
        </w:rPr>
        <w:t xml:space="preserve">P6</w:t>
      </w:r>
      <w:r>
        <w:t xml:space="preserve"> </w:t>
      </w:r>
      <w:r>
        <w:t xml:space="preserve">(meta-analysis ba tầng — IBR, under review): k = 238 nghiên cứu, r̄ = 0,074, I² = 62,4%, gradient ICRV Q_M = 17,35 (df = 4, p = ,002).</w:t>
      </w:r>
      <w:r>
        <w:t xml:space="preserve"> </w:t>
      </w:r>
      <w:r>
        <w:rPr>
          <w:bCs/>
          <w:b/>
        </w:rPr>
        <w:t xml:space="preserve">P7</w:t>
      </w:r>
      <w:r>
        <w:t xml:space="preserve"> </w:t>
      </w:r>
      <w:r>
        <w:t xml:space="preserve">(49 nền kinh tế — JIBS, under revision): N = 84.910 quan sát, turning point trung bình ~36%, DAI×ICRV (p = ,012), kiểm định tích hợp CDCM đầu tiên ở quy mô liên quốc gia lớn.</w:t>
      </w:r>
      <w:r>
        <w:t xml:space="preserve"> </w:t>
      </w:r>
      <w:r>
        <w:rPr>
          <w:bCs/>
          <w:b/>
        </w:rPr>
        <w:t xml:space="preserve">P8</w:t>
      </w:r>
      <w:r>
        <w:t xml:space="preserve"> </w:t>
      </w:r>
      <w:r>
        <w:t xml:space="preserve">(Pacific SIDS — World Development, under revision): boundary condition FIP, quan hệ âm đơn điệu (</w:t>
      </w:r>
      <m:oMath>
        <m:sSub>
          <m:e>
            <m:acc>
              <m:accPr>
                <m:chr m:val="̂"/>
              </m:accPr>
              <m:e>
                <m:r>
                  <m:t>β</m:t>
                </m:r>
              </m:e>
            </m:acc>
          </m:e>
          <m:sub>
            <m:r>
              <m:rPr>
                <m:nor/>
                <m:sty m:val="p"/>
              </m:rPr>
              <m:t>FSTS</m:t>
            </m:r>
          </m:sub>
        </m:sSub>
        <m:r>
          <m:rPr>
            <m:sty m:val="p"/>
          </m:rPr>
          <m:t>=</m:t>
        </m:r>
        <m:r>
          <m:rPr>
            <m:sty m:val="p"/>
          </m:rPr>
          <m:t>−</m:t>
        </m:r>
        <m:r>
          <m:t>0</m:t>
        </m:r>
        <m:r>
          <m:rPr>
            <m:sty m:val="p"/>
          </m:rPr>
          <m:t>,</m:t>
        </m:r>
        <m:r>
          <m:t>404</m:t>
        </m:r>
      </m:oMath>
      <w:r>
        <w:t xml:space="preserve">,</w:t>
      </w:r>
      <w:r>
        <w:t xml:space="preserve"> </w:t>
      </w:r>
      <m:oMath>
        <m:r>
          <m:t>p</m:t>
        </m:r>
        <m:r>
          <m:rPr>
            <m:sty m:val="p"/>
          </m:rPr>
          <m:t>&lt;</m:t>
        </m:r>
        <m:r>
          <m:rPr>
            <m:sty m:val="p"/>
          </m:rPr>
          <m:t>,</m:t>
        </m:r>
        <m:r>
          <m:t>05</m:t>
        </m:r>
      </m:oMath>
      <w:r>
        <w:t xml:space="preserve">), xác nhận H1b tại chín nền kinh tế SIDS Thái Bình Dương. Kết quả P3–P8 được trình bày chi tiết trong Chương 4 và tích hợp vào bàn luận CDCM trong Chương 5.</w:t>
      </w:r>
    </w:p>
    <w:p>
      <w:r>
        <w:pict>
          <v:rect style="width:0;height:1.5pt" o:hralign="center" o:hrstd="t" o:hr="t"/>
        </w:pict>
      </w:r>
    </w:p>
    <w:p>
      <w:pPr>
        <w:pStyle w:val="FirstParagraph"/>
      </w:pPr>
      <w:r>
        <w:rPr>
          <w:iCs/>
          <w:i/>
        </w:rPr>
        <w:t xml:space="preserve">Chú thích về ký hiệu và thuật ngữ: Trong toàn bộ luận án, "quốc tế hóa" (internationalization) được đo chủ yếu bằng tỷ lệ doanh thu nước ngoài trên tổng doanh thu (FSTS) hoặc export intensity; "hiệu quả hoạt động" (firm performance) được đo chủ yếu bằng năng suất lao động (labor productivity), bổ sung bằng ROS và sales growth trong các kiểm định độ vững; TCI là technological capability index; DAI là chỉ số chấp nhận số (digital adoption index), được hiểu như proxy foundational digital adoption; ICRV là khung phân loại thể chế 6 nhóm được phát triển cho luận án này; WBES là World Bank Enterprise Surveys.</w:t>
      </w:r>
    </w:p>
    <w:bookmarkEnd w:id="35"/>
    <w:bookmarkEnd w:id="36"/>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2026-05-21T08:31:21Z</dcterms:created>
  <dcterms:modified xsi:type="dcterms:W3CDTF">2026-05-21T08:31:21Z</dcterms:modified>
</cp:coreProperties>
</file>

<file path=docProps/custom.xml><?xml version="1.0" encoding="utf-8"?>
<Properties xmlns="http://schemas.openxmlformats.org/officeDocument/2006/custom-properties" xmlns:vt="http://schemas.openxmlformats.org/officeDocument/2006/docPropsVTypes"/>
</file>