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iCs/>
          <w:i/>
        </w:rPr>
        <w:t xml:space="preserve">Bản thảo chuẩn bị nộp: Management International Review (MIR; Springer, Scopus Q1, ABS-3)</w:t>
      </w:r>
      <w:r>
        <w:t xml:space="preserve"> </w:t>
      </w:r>
      <w:r>
        <w:rPr>
          <w:iCs/>
          <w:i/>
        </w:rPr>
        <w:t xml:space="preserve">Phiên bản 1.2, tháng 5/2026 (mục tiêu nộp tạp chí: Q3 2026)</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báo cáo phân tích tổng hợp hồi quy ba cấp (three-level meta-analytic regression analysis — MARA) đầu tiên về quan hệ quốc tế hóa, hiệu quả hoạt động kinh doanh (I-P) nhằm kiểm định liệu áp dụng số cấp quốc gia (country-level digital adoption — cDAI), chế độ bối cảnh thể chế (institutional context regime — ICRV), và giai đoạn Vòng đời Nghịch lý Số (Digital Paradox Lifecycle — DPL) có điều tiết quan hệ này trên một corpus đại diện toàn cầu hay không.</w:t>
      </w:r>
    </w:p>
    <w:p>
      <w:pPr>
        <w:pStyle w:val="BodyText"/>
      </w:pPr>
      <w:r>
        <w:rPr>
          <w:bCs/>
          <w:b/>
        </w:rPr>
        <w:t xml:space="preserve">Thiết kế/phương pháp/cách tiếp cận.</w:t>
      </w:r>
      <w:r>
        <w:t xml:space="preserve"> </w:t>
      </w:r>
      <w:r>
        <w:t xml:space="preserve">Tuân theo PRISMA 2020, tổng quan hệ thống kết hợp truy ngược và truy xuôi trích dẫn của năm meta-analysis neo cùng với hand-search đã tập hợp một corpus phân tích gồm</w:t>
      </w:r>
      <w:r>
        <w:t xml:space="preserve"> </w:t>
      </w:r>
      <w:r>
        <w:rPr>
          <w:iCs/>
          <w:i/>
        </w:rPr>
        <w:t xml:space="preserve">k</w:t>
      </w:r>
      <w:r>
        <w:t xml:space="preserve"> </w:t>
      </w:r>
      <w:r>
        <w:t xml:space="preserve">= 238 nghiên cứu và</w:t>
      </w:r>
      <w:r>
        <w:t xml:space="preserve"> </w:t>
      </w:r>
      <w:r>
        <w:rPr>
          <w:iCs/>
          <w:i/>
        </w:rPr>
        <w:t xml:space="preserve">K</w:t>
      </w:r>
      <w:r>
        <w:t xml:space="preserve"> </w:t>
      </w:r>
      <w:r>
        <w:t xml:space="preserve">= 288 cỡ hiệu ứng từ 49 nền kinh tế; bổ sung tìm kiếm cơ sở dữ liệu Web of Science và Scopus (1977–2026) được thực hiện để xác định phạm vi cho phần mở rộng đã tiền đăng ký, hiện đang trong quá trình trích xuất toàn văn. MARA ba cấp phân tách dị biệt trong-nghiên-cứu và giữa-nghiên-cứu bằng gói</w:t>
      </w:r>
      <w:r>
        <w:t xml:space="preserve"> </w:t>
      </w:r>
      <w:r>
        <w:rPr>
          <w:iCs/>
          <w:i/>
        </w:rPr>
        <w:t xml:space="preserve">metafor</w:t>
      </w:r>
      <w:r>
        <w:t xml:space="preserve">, với tiền đăng ký các giả thuyết và kế hoạch phân tích trên OSF.</w:t>
      </w:r>
    </w:p>
    <w:p>
      <w:pPr>
        <w:pStyle w:val="BodyText"/>
      </w:pPr>
      <w:r>
        <w:rPr>
          <w:bCs/>
          <w:b/>
        </w:rPr>
        <w:t xml:space="preserve">Kết quả chính.</w:t>
      </w:r>
      <w:r>
        <w:t xml:space="preserve"> </w:t>
      </w:r>
      <w:r>
        <w:t xml:space="preserve">Hiệu ứng tổng hợp cơ sở đạt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Các biến điều tiết được giả thuyết chỉ nhận được hỗ trợ hạn chế: kiểm định omnibus ICRV trên toàn mẫu có ý nghĩa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không bền vững, kiểm định nhạy cảm drop-Frontier trên bốn chế độ đông dữ liệu đưa nó về không có ý nghĩa (</w:t>
      </w:r>
      <w:r>
        <w:rPr>
          <w:iCs/>
          <w:i/>
        </w:rPr>
        <w:t xml:space="preserve">Q</w:t>
      </w:r>
      <w:r>
        <w:t xml:space="preserve">_M = 1.49,</w:t>
      </w:r>
      <w:r>
        <w:t xml:space="preserve"> </w:t>
      </w:r>
      <w:r>
        <w:rPr>
          <w:iCs/>
          <w:i/>
        </w:rPr>
        <w:t xml:space="preserve">p</w:t>
      </w:r>
      <w:r>
        <w:t xml:space="preserve"> </w:t>
      </w:r>
      <w:r>
        <w:t xml:space="preserve">= .68); điều tiết cDAI và DPL đều không có ý nghĩa. Kết quả có hệ quả lớn nhất là thiên lệch công bố đáng kể: trim-and-fill ước lệ</w:t>
      </w:r>
      <w:r>
        <w:t xml:space="preserve"> </w:t>
      </w:r>
      <w:r>
        <w:rPr>
          <w:iCs/>
          <w:i/>
        </w:rPr>
        <w:t xml:space="preserve">k</w:t>
      </w:r>
      <w:r>
        <w:t xml:space="preserve"> </w:t>
      </w:r>
      <w:r>
        <w:t xml:space="preserve">= 58 nghiên cứu thiếu, cắt giảm hiệu ứng tổng hợp xuống</w:t>
      </w:r>
      <w:r>
        <w:t xml:space="preserve"> </w:t>
      </w:r>
      <w:r>
        <w:rPr>
          <w:iCs/>
          <w:i/>
        </w:rPr>
        <w:t xml:space="preserve">r</w:t>
      </w:r>
      <w:r>
        <w:t xml:space="preserve"> </w:t>
      </w:r>
      <w:r>
        <w:t xml:space="preserve">= .035 (95% CI [.023, .048]),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Hạn chế/hàm ý nghiên cứu.</w:t>
      </w:r>
      <w:r>
        <w:t xml:space="preserve"> </w:t>
      </w:r>
      <w:r>
        <w:t xml:space="preserve">Các ô Frontier (</w:t>
      </w:r>
      <w:r>
        <w:rPr>
          <w:iCs/>
          <w:i/>
        </w:rPr>
        <w:t xml:space="preserve">K</w:t>
      </w:r>
      <w:r>
        <w:t xml:space="preserve"> </w:t>
      </w:r>
      <w:r>
        <w:t xml:space="preserve">= 3) và SIDS (</w:t>
      </w:r>
      <w:r>
        <w:rPr>
          <w:iCs/>
          <w:i/>
        </w:rPr>
        <w:t xml:space="preserve">K</w:t>
      </w:r>
      <w:r>
        <w:t xml:space="preserve"> </w:t>
      </w:r>
      <w:r>
        <w:t xml:space="preserve">= 0) thưa thớt làm giới hạn công lực kiểm định giữa các chế độ; trích xuất một coder không cho phép tính các thống kê độ tin cậy giữa các coder. Những phát hiện này định nghĩa lại câu đố dị biệt: phương sai chưa giải thích được trong I-P có thể phản ánh sự chọn lọc của khâu công bố nhiều hơn là các yếu tố thể chế hay kỹ thuật số, đòi hỏi sao chép tiền đăng ký với cỡ mẫu liên-chế-độ lớn hơn.</w:t>
      </w:r>
    </w:p>
    <w:p>
      <w:pPr>
        <w:pStyle w:val="BodyText"/>
      </w:pPr>
      <w:r>
        <w:rPr>
          <w:bCs/>
          <w:b/>
        </w:rPr>
        <w:t xml:space="preserve">Hàm ý thực tiễn.</w:t>
      </w:r>
      <w:r>
        <w:t xml:space="preserve"> </w:t>
      </w:r>
      <w:r>
        <w:t xml:space="preserve">Các nhà quản trị không nên kỳ vọng lợi ích hiệu quả tự động từ quốc tế hóa: hiệu ứng tổng hợp đã hiệu chỉnh thiên lệch (</w:t>
      </w:r>
      <w:r>
        <w:rPr>
          <w:iCs/>
          <w:i/>
        </w:rPr>
        <w:t xml:space="preserve">r</w:t>
      </w:r>
      <w:r>
        <w:t xml:space="preserve"> </w:t>
      </w:r>
      <w:r>
        <w:t xml:space="preserve">= .035) nhỏ hơn đáng kể so với các ước lượng đã công bố. Riêng cơ sở hạ tầng số quốc gia không khuếch đại lợi nhuận I-P; năng lực số ở cấp doanh nghiệp tỏ ra quyết định hơn.</w:t>
      </w:r>
    </w:p>
    <w:p>
      <w:pPr>
        <w:pStyle w:val="BodyText"/>
      </w:pPr>
      <w:r>
        <w:rPr>
          <w:bCs/>
          <w:b/>
        </w:rPr>
        <w:t xml:space="preserve">Tính nguyên gốc/giá trị.</w:t>
      </w:r>
      <w:r>
        <w:t xml:space="preserve"> </w:t>
      </w:r>
      <w:r>
        <w:t xml:space="preserve">Đây là MARA ba cấp đầu tiên cho tài liệu I-P, là kiểm định meta-analytic tiền đăng ký đầu tiên về cDAI, chế độ ICRV và giai đoạn DPL với vai trò biến điều tiết, và là lượng hóa hệ thống đầu tiên về mức suy giảm do thiên lệch công bố trong cơ sở bằng chứng 40 năm này.</w:t>
      </w:r>
    </w:p>
    <w:p>
      <w:pPr>
        <w:pStyle w:val="BodyText"/>
      </w:pPr>
      <w:r>
        <w:rPr>
          <w:bCs/>
          <w:b/>
        </w:rPr>
        <w:t xml:space="preserve">Từ khóa:</w:t>
      </w:r>
      <w:r>
        <w:t xml:space="preserve"> </w:t>
      </w:r>
      <w:r>
        <w:t xml:space="preserve">quan hệ quốc tế hóa, hiệu quả hoạt động kinh doanh;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đầu tiên tuân thủ PRISMA 2020 kèm tiền đăng ký OSF cho chủ đề này; (3) phân tách dị biệt trong-nghiên-cứu và giữa-nghiên-cứu đầu tiên cho I-P.</w:t>
      </w:r>
      <w:r>
        <w:t xml:space="preserve"> </w:t>
      </w:r>
      <w:r>
        <w:rPr>
          <w:iCs/>
          <w:i/>
        </w:rPr>
        <w:t xml:space="preserve">Về lý thuyết</w:t>
      </w:r>
      <w:r>
        <w:t xml:space="preserve">: (4) kiểm định meta-analytic đầu tiên về khung ICRV 6 chế độ trên corpus I-P đại diện toàn cầu (5 trong 6 chế độ có dữ liệu; Chế độ VI Pacific-SIDS không có nghiên cứu đủ tiêu chuẩn); (5) kiểm định chính thức đầu tiên về cDAI với vai trò biến điều tiết cấp quốc gia về hạ tầng số của I-P; (6) kiểm định đầu tiên về giai đoạn DPL với vai trò biến điều tiết thời gian qua MARA ba cấp.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 và thúc đẩy cách diễn giải</w:t>
      </w:r>
      <w:r>
        <w:t xml:space="preserve"> </w:t>
      </w:r>
      <w:r>
        <w:rPr>
          <w:iCs/>
          <w:i/>
        </w:rPr>
        <w:t xml:space="preserve">Bất tương thích Năng lực, Bối cảnh</w:t>
      </w:r>
      <w:r>
        <w:t xml:space="preserve">: một bối cảnh số vĩ mô là vô hiệu đối với I-P trừ khi đi kèm năng lực số ở cấp doanh nghiệp.</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3"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Bốn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 Codebook trích xuất đi kèm dữ liệu (v1.1) ghi lại mã hóa thực tế áp dụng; phương án v1.0 đã đăng ký vẫn được giữ trong bản ghi OSF đóng băng.</w:t>
      </w:r>
    </w:p>
    <w:bookmarkEnd w:id="33"/>
    <w:bookmarkStart w:id="34"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tập hợp qua truy ngược và truy xuôi trích dẫn của năm phân tích tổng hợp neo cùng hand-search và mã hóa theo các tiêu chí đủ tiêu chuẩn ở trên. Riêng biệt, tìm kiếm cơ sở dữ liệu Web of Science + Scopus (20/5/2026) trả về 3,263 bản ghi, giảm sau dedup, sàng lọc từ khóa L1, và 8 vòng sàng lọc tiêu đề-tóm tắt L2 (script dựa trên quy tắc + thủ công + truy xuất tóm tắt hỗ trợ WebSearch) xuống còn 435 ứng viên ưu tiên trích xuất toàn văn; phần mở rộng tìm kiếm cơ sở dữ liệu này đang trong quá trình và không thuộc các hiệu ứng phân tích ở đây. Toàn bộ lưu đồ PRISMA 2020 và dấu vết sàng lọc từng vòng được cung cấp dưới dạng</w:t>
      </w:r>
      <w:r>
        <w:t xml:space="preserve"> </w:t>
      </w:r>
      <w:r>
        <w:rPr>
          <w:bCs/>
          <w:b/>
        </w:rPr>
        <w:t xml:space="preserve">Supp-A</w:t>
      </w:r>
      <w:r>
        <w:t xml:space="preserve"> </w:t>
      </w:r>
      <w:r>
        <w:t xml:space="preserve">và</w:t>
      </w:r>
      <w:r>
        <w:t xml:space="preserve"> </w:t>
      </w:r>
      <w:r>
        <w:rPr>
          <w:bCs/>
          <w:b/>
        </w:rPr>
        <w:t xml:space="preserve">Supp-T5</w:t>
      </w:r>
      <w:r>
        <w:t xml:space="preserve"> </w:t>
      </w:r>
      <w:r>
        <w:t xml:space="preserve">trên OSF.</w:t>
      </w:r>
    </w:p>
    <w:bookmarkEnd w:id="34"/>
    <w:bookmarkStart w:id="38" w:name="X8d6ea2530656bac303f23311e3e332b76799bb1"/>
    <w:p>
      <w:pPr>
        <w:pStyle w:val="Heading3"/>
      </w:pPr>
      <w:r>
        <w:t xml:space="preserve">3.3 Trích xuất dữ liệu và đảm bảo chất lượng</w:t>
      </w:r>
    </w:p>
    <w:bookmarkStart w:id="35"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coder chính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5"/>
    <w:bookmarkStart w:id="36"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6"/>
    <w:bookmarkStart w:id="37"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37"/>
    <w:bookmarkEnd w:id="38"/>
    <w:bookmarkStart w:id="39"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0"/>
    <w:bookmarkStart w:id="41"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w:t>
      </w:r>
      <w:r>
        <w:t xml:space="preserve"> </w:t>
      </w:r>
      <w:r>
        <w:rPr>
          <w:bCs/>
          <w:b/>
        </w:rPr>
        <w:t xml:space="preserve">Meta-regression PET-PEESE</w:t>
      </w:r>
      <w:r>
        <w:t xml:space="preserve"> </w:t>
      </w:r>
      <w:r>
        <w:t xml:space="preserve">(Stanley &amp; Doucouliagos, 2014) bổ sung được áp dụng như hiệu chỉnh dựa trên mô hình. Đặc tả kiểm định chi tiết trong</w:t>
      </w:r>
      <w:r>
        <w:t xml:space="preserve"> </w:t>
      </w:r>
      <w:r>
        <w:rPr>
          <w:bCs/>
          <w:b/>
        </w:rPr>
        <w:t xml:space="preserve">Supp-M</w:t>
      </w:r>
      <w:r>
        <w:t xml:space="preserve">.</w:t>
      </w:r>
    </w:p>
    <w:bookmarkEnd w:id="41"/>
    <w:bookmarkStart w:id="42"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2"/>
    <w:bookmarkEnd w:id="43"/>
    <w:bookmarkStart w:id="66" w:name="Xc1528237297c4ce8999628372a6b48494fd6214"/>
    <w:p>
      <w:pPr>
        <w:pStyle w:val="Heading2"/>
      </w:pPr>
      <w:r>
        <w:t xml:space="preserve">4. Kết quả</w:t>
      </w:r>
    </w:p>
    <w:bookmarkStart w:id="47"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48"/>
    <w:bookmarkStart w:id="52" w:name="X82f8391a977f05e2c17b40fb235063af408ff2d"/>
    <w:p>
      <w:pPr>
        <w:pStyle w:val="Heading3"/>
      </w:pPr>
      <w:r>
        <w:t xml:space="preserve">4.3 Điều tiết chế độ ICRV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nhận</w:t>
      </w:r>
      <w:r>
        <w:t xml:space="preserve"> </w:t>
      </w:r>
      <w:r>
        <w:rPr>
          <w:bCs/>
          <w:b/>
        </w:rPr>
        <w:t xml:space="preserve">hỗ trợ yếu</w:t>
      </w:r>
      <w:r>
        <w:t xml:space="preserve">: kiểm định omnibus giữa các chế độ trên toàn mẫu có ý nghĩa, nhưng được tạo ra gần như hoàn toàn bởi một ô Frontier nhỏ, hiệu ứng cao (FR,</w:t>
      </w:r>
      <w:r>
        <w:t xml:space="preserve"> </w:t>
      </w:r>
      <w:r>
        <w:rPr>
          <w:iCs/>
          <w:i/>
        </w:rPr>
        <w:t xml:space="preserve">K</w:t>
      </w:r>
      <w:r>
        <w:t xml:space="preserve"> </w:t>
      </w:r>
      <w:r>
        <w:t xml:space="preserve">= 3). Một kiểm định nhạy cảm drop-FR trên bốn chế độ lõi đông dữ liệu (I/II/III/MX) đưa omnibus về không có ý nghĩa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Điều tiết giữa các chế độ vì vậy</w:t>
      </w:r>
      <w:r>
        <w:t xml:space="preserve"> </w:t>
      </w:r>
      <w:r>
        <w:rPr>
          <w:bCs/>
          <w:b/>
        </w:rPr>
        <w:t xml:space="preserve">không vững</w:t>
      </w:r>
      <w:r>
        <w:t xml:space="preserve">, và các Đề xuất Khám phá định hướng E1a (Tiên tiến lớn nhất) và E1b (Frontier nhỏ nhất)</w:t>
      </w:r>
      <w:r>
        <w:t xml:space="preserve"> </w:t>
      </w:r>
      <w:r>
        <w:rPr>
          <w:bCs/>
          <w:b/>
        </w:rPr>
        <w:t xml:space="preserve">không</w:t>
      </w:r>
      <w:r>
        <w:t xml:space="preserve"> </w:t>
      </w:r>
      <w:r>
        <w:t xml:space="preserve">được ủng hộ: không có gradient đơn điệu tiên tiến-tới-mới nổi; xem bên dưới.</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2"/>
    <w:bookmarkStart w:id="53"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CDCM.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3"/>
    <w:bookmarkStart w:id="57"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57"/>
    <w:bookmarkStart w:id="61"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1"/>
    <w:bookmarkStart w:id="65"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3" name="Picture"/>
            <a:graphic>
              <a:graphicData uri="http://schemas.openxmlformats.org/drawingml/2006/picture">
                <pic:pic>
                  <pic:nvPicPr>
                    <pic:cNvPr descr="figures/figure4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5"/>
    <w:bookmarkEnd w:id="66"/>
    <w:bookmarkStart w:id="71" w:name="X3923f9545aa9c992e02ccb4472a40e02686b4e2"/>
    <w:p>
      <w:pPr>
        <w:pStyle w:val="Heading2"/>
      </w:pPr>
      <w:r>
        <w:t xml:space="preserve">5. Thảo luận</w:t>
      </w:r>
    </w:p>
    <w:bookmarkStart w:id="67"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Ở cấp nghiên cứu sơ cấp, Do và Phan (2025) ghi nhận hệ số DOI tổng hợp âm trên 380 doanh nghiệp WBES Ấn Độ (ước lượng FGLS), với kinh nghiệm quản lý và lãnh đạo top-management nữ là các yếu tố điều tiết dương, một mẫu hình nhất quán với dự đoán CIMT rằng các nguồn lực bù trừ cấp doanh nghiệp một phần bù đắp ma sát thể chế trong các môi trường Mới nổi.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67"/>
    <w:bookmarkStart w:id="68"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đến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cơ sở châu Á-Thái Bình Dương ICBEF 2025 (</w:t>
      </w:r>
      <w:r>
        <w:rPr>
          <w:iCs/>
          <w:i/>
        </w:rPr>
        <w:t xml:space="preserve">k</w:t>
      </w:r>
      <w:r>
        <w:t xml:space="preserve"> </w:t>
      </w:r>
      <w:r>
        <w:t xml:space="preserve">= 113) thêm 125 nghiên cứu với corpus mã hóa ICRV bao trùm toàn cầu. Mô hình hóa ba cấp phân chia đúng phương sai trong-nghiên-cứu và giữa-nghiên-cứu, và cơ sở</w:t>
      </w:r>
      <w:r>
        <w:t xml:space="preserve"> </w:t>
      </w:r>
      <w:r>
        <w:rPr>
          <w:iCs/>
          <w:i/>
        </w:rPr>
        <w:t xml:space="preserve">r</w:t>
      </w:r>
      <w:r>
        <w:t xml:space="preserve"> </w:t>
      </w:r>
      <w:r>
        <w:t xml:space="preserve">= 0.074 tái lập các ước lượng trước trong khi vẫn vững qua bảy kiểm tra nhạy cảm.</w:t>
      </w:r>
    </w:p>
    <w:p>
      <w:pPr>
        <w:pStyle w:val="BodyText"/>
      </w:pPr>
      <w:r>
        <w:rPr>
          <w:bCs/>
          <w:b/>
        </w:rPr>
        <w:t xml:space="preserve">Đóng góp 2: Kiểm định meta-analytic đầu tiên về các biến điều tiết ICRV, cDAI và DPL.</w:t>
      </w:r>
      <w:r>
        <w:t xml:space="preserve"> </w:t>
      </w:r>
      <w:r>
        <w:t xml:space="preserve">Bài viết này là người đầu tiên kiểm định chính thức chế độ thể chế ICRV, áp dụng số quốc gia (cDAI), và giai đoạn Vòng đời Nghịch lý Số như các biến điều tiết trong MARA ba cấp. Omnibus ICRV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dựa hoàn toàn vào ô Frontier 3 nghiên cứu (chế độ lõi</w:t>
      </w:r>
      <w:r>
        <w:t xml:space="preserve"> </w:t>
      </w:r>
      <w:r>
        <w:rPr>
          <w:iCs/>
          <w:i/>
        </w:rPr>
        <w:t xml:space="preserve">Q</w:t>
      </w:r>
      <w:r>
        <w:t xml:space="preserve">_M = 1.49,</w:t>
      </w:r>
      <w:r>
        <w:t xml:space="preserve"> </w:t>
      </w:r>
      <w:r>
        <w:rPr>
          <w:iCs/>
          <w:i/>
        </w:rPr>
        <w:t xml:space="preserve">p</w:t>
      </w:r>
      <w:r>
        <w:t xml:space="preserve"> </w:t>
      </w:r>
      <w:r>
        <w:t xml:space="preserve">= .68); H1 vì vậy nhận hỗ trợ yếu, không vững. Các đề xuất gradient định hướng (E1a/E1b) và các giả thuyết cDAI và DPL (H2, H3) cũng không được xác nhận dưới kiểm định giữa các nhóm nghiêm ngặt. Các kết quả này định nghĩa các giới hạn có ý nghĩa lý thuyết: mẫu</w:t>
      </w:r>
      <w:r>
        <w:t xml:space="preserve"> </w:t>
      </w:r>
      <w:r>
        <w:rPr>
          <w:iCs/>
          <w:i/>
        </w:rPr>
        <w:t xml:space="preserve">k</w:t>
      </w:r>
      <w:r>
        <w:t xml:space="preserve"> </w:t>
      </w:r>
      <w:r>
        <w:t xml:space="preserve">= 238 thiếu đủ biến thiên giữa các chế độ trong các ô chẩn đoán (đặc biệt Frontier/SIDS,</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để phân xử gradient CIMT, và giai đoạn cDAI và DPL không giải thích dị biệt giữa các nghiên cứu trong cơ sở dữ liệu làm việc hiện tại. Các sao chép tìm kiếm chính thức trong tương lai với lấy mẫu cấp chế độ có mục tiêu nên kiểm định xem gradient có xuất hiện với đại diện giữa các chế độ phong phú hơn hay không.</w:t>
      </w:r>
    </w:p>
    <w:p>
      <w:pPr>
        <w:pStyle w:val="BodyText"/>
      </w:pPr>
      <w:r>
        <w:rPr>
          <w:bCs/>
          <w:b/>
        </w:rPr>
        <w:t xml:space="preserve">Đóng góp 3: Thiên lệch công bố đáng kể được xác định.</w:t>
      </w:r>
      <w:r>
        <w:t xml:space="preserve"> </w:t>
      </w:r>
      <w:r>
        <w:t xml:space="preserve">Ước lượng đã hiệu chỉnh trim-and-fill (</w:t>
      </w:r>
      <w:r>
        <w:rPr>
          <w:iCs/>
          <w:i/>
        </w:rPr>
        <w:t xml:space="preserve">r</w:t>
      </w:r>
      <w:r>
        <w:t xml:space="preserve"> </w:t>
      </w:r>
      <w:r>
        <w:t xml:space="preserve">= 0.035,</w:t>
      </w:r>
      <w:r>
        <w:t xml:space="preserve"> </w:t>
      </w:r>
      <w:r>
        <w:rPr>
          <w:iCs/>
          <w:i/>
        </w:rPr>
        <w:t xml:space="preserve">k</w:t>
      </w:r>
      <w:r>
        <w:t xml:space="preserve"> </w:t>
      </w:r>
      <w:r>
        <w:t xml:space="preserve">= 58 nghiên cứu ước lệ) và Begg's</w:t>
      </w:r>
      <w:r>
        <w:t xml:space="preserve"> </w:t>
      </w:r>
      <m:oMath>
        <m:r>
          <m:t>τ</m:t>
        </m:r>
      </m:oMath>
      <w:r>
        <w:t xml:space="preserve"> </w:t>
      </w:r>
      <w:r>
        <w:t xml:space="preserve">có ý nghĩa (</w:t>
      </w:r>
      <w:r>
        <w:rPr>
          <w:iCs/>
          <w:i/>
        </w:rPr>
        <w:t xml:space="preserve">p</w:t>
      </w:r>
      <w:r>
        <w:t xml:space="preserve"> </w:t>
      </w:r>
      <w:r>
        <w:t xml:space="preserve">= .0007) cùng cho thấy tài liệu I-P có thiên lệch công bố dương đáng kể. Hiệu ứng tổng hợp thô (</w:t>
      </w:r>
      <w:r>
        <w:rPr>
          <w:iCs/>
          <w:i/>
        </w:rPr>
        <w:t xml:space="preserve">r</w:t>
      </w:r>
      <w:r>
        <w:t xml:space="preserve"> </w:t>
      </w:r>
      <w:r>
        <w:t xml:space="preserve">= 0.074) có thể phóng đại hiệu ứng nhân quả trung bình thực khoảng 50–100%, với ước lượng đã hiệu chỉnh thiên lệch (</w:t>
      </w:r>
      <w:r>
        <w:rPr>
          <w:iCs/>
          <w:i/>
        </w:rPr>
        <w:t xml:space="preserve">r</w:t>
      </w:r>
      <w:r>
        <w:t xml:space="preserve"> </w:t>
      </w:r>
      <w:r>
        <w:t xml:space="preserve">= 0.035) cung cấp giới hạn dưới thận trọng. Phát hiện này, từ MARA ba cấp toàn diện toàn cầu nhất của I-P đến nay, là đóng góp lý thuyết khả thi nhất: nó cho thấy "quan hệ I-P dương" được trích dẫn rộng rãi trong tài liệu IB một phần là artifact của công bố chọn lọc chứ không phải hiện tượng vững.</w:t>
      </w:r>
    </w:p>
    <w:bookmarkEnd w:id="68"/>
    <w:bookmarkStart w:id="69" w:name="Xf5030cadfa1756304157346d144e6a48e78824d"/>
    <w:p>
      <w:pPr>
        <w:pStyle w:val="Heading3"/>
      </w:pPr>
      <w:r>
        <w:t xml:space="preserve">5.3 Hàm ý quản trị và chính sách</w:t>
      </w:r>
    </w:p>
    <w:p>
      <w:pPr>
        <w:pStyle w:val="FirstParagraph"/>
      </w:pPr>
      <w:r>
        <w:t xml:space="preserve">Việc không xác nhận ba biến điều tiết được giả thuyết hạn chế các kết luận quy phạm mạnh về chế độ thể chế hoặc bối cảnh số, nhưng phát hiện cơ sở và kết quả thiên lệch công bố mang ý nghĩa thực tế.</w:t>
      </w:r>
    </w:p>
    <w:p>
      <w:pPr>
        <w:pStyle w:val="BodyText"/>
      </w:pPr>
      <w:r>
        <w:rPr>
          <w:bCs/>
          <w:b/>
        </w:rPr>
        <w:t xml:space="preserve">Đối với các doanh nghiệp trong mọi bối cảnh thể chế:</w:t>
      </w:r>
      <w:r>
        <w:t xml:space="preserve"> </w:t>
      </w:r>
      <w:r>
        <w:t xml:space="preserve">Cơ sở đã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cho lợi nhuận hiệu quả trung bình thực từ quốc tế hóa. Các doanh nghiệp kỳ vọng lợi ích năng suất lớn chỉ từ tăng cường xuất khẩu có thể sẽ thất vọng: tài liệu đã công bố báo cáo quá mức các hiệu ứng dương một cách hệ thống. Chiến lược quốc tế hóa nên được dẫn dắt bởi lợi thế cạnh tranh đặc thù của doanh nghiệp và học hỏi đặc thù thị trường, không phải bởi giả định rằng "quốc tế hóa cải thiện hiệu quả" một cách vô điều kiện.</w:t>
      </w:r>
    </w:p>
    <w:p>
      <w:pPr>
        <w:pStyle w:val="BodyText"/>
      </w:pPr>
      <w:r>
        <w:rPr>
          <w:bCs/>
          <w:b/>
        </w:rPr>
        <w:t xml:space="preserve">Đối với các nhà nghiên cứu:</w:t>
      </w:r>
      <w:r>
        <w:t xml:space="preserve"> </w:t>
      </w:r>
      <w:r>
        <w:t xml:space="preserve">Thiên lệch công bố đáng kể (</w:t>
      </w:r>
      <w:r>
        <w:rPr>
          <w:iCs/>
          <w:i/>
        </w:rPr>
        <w:t xml:space="preserve">k</w:t>
      </w:r>
      <w:r>
        <w:t xml:space="preserve"> </w:t>
      </w:r>
      <w:r>
        <w:t xml:space="preserve">= 58 ước lệ,</w:t>
      </w:r>
      <w:r>
        <w:t xml:space="preserve"> </w:t>
      </w:r>
      <w:r>
        <w:rPr>
          <w:iCs/>
          <w:i/>
        </w:rPr>
        <w:t xml:space="preserve">r</w:t>
      </w:r>
      <w:r>
        <w:t xml:space="preserve"> </w:t>
      </w:r>
      <w:r>
        <w:t xml:space="preserve">điều chỉnh = 0.035) là lời kêu gọi cho các nghiên cứu tiền đăng ký với báo cáo giả thuyết không rõ ràng. Thực tiễn công bố trong tài liệu I-P, nơi các hiệu ứng dương được đại diện quá mức, có thể đang bóp méo hiểu biết của lĩnh vực về khi nào và tại sao quốc tế hóa giúp ích. Tiền đăng ký trên OSF và áp dụng MARA ba cấp với hiệu chỉnh trim-and-fill nên trở thành chuẩn trong các phân tích tổng hợp I-P tương lai.</w:t>
      </w:r>
    </w:p>
    <w:p>
      <w:pPr>
        <w:pStyle w:val="BodyText"/>
      </w:pPr>
      <w:r>
        <w:rPr>
          <w:bCs/>
          <w:b/>
        </w:rPr>
        <w:t xml:space="preserve">Đối với các nhà hoạch định chính sách:</w:t>
      </w:r>
      <w:r>
        <w:t xml:space="preserve"> </w:t>
      </w:r>
      <w:r>
        <w:t xml:space="preserve">Khoảng cách Tiên tiến-Mới nổi ICRV (</w:t>
      </w:r>
      <w:r>
        <w:rPr>
          <w:iCs/>
          <w:i/>
        </w:rPr>
        <w:t xml:space="preserve">r̄</w:t>
      </w:r>
      <w:r>
        <w:t xml:space="preserve"> </w:t>
      </w:r>
      <w:r>
        <w:t xml:space="preserve">= 0.079 so với 0.069, không có ý nghĩa) không đủ lớn để biện minh chất lượng thể chế là yếu tố quyết định chính của năng suất do xuất khẩu dẫn dắt. Các chương trình xúc tiến xuất khẩu nên nhắm vào năng lực cấp doanh nghiệp (công nghệ, quản lý) ngang bằng với cải cách thể chế, do gradient thể chế-hiệu quả không được xác nhận meta-analytic ở cỡ mẫu hiện tại.</w:t>
      </w:r>
    </w:p>
    <w:bookmarkEnd w:id="69"/>
    <w:bookmarkStart w:id="70"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0"/>
    <w:bookmarkEnd w:id="71"/>
    <w:bookmarkStart w:id="72"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Các ràng buộc suy luận.</w:t>
      </w:r>
      <w:r>
        <w:t xml:space="preserve"> </w:t>
      </w:r>
      <w:r>
        <w:t xml:space="preserve">Năm hạn chế giới hạn các kết luận này. (1) Các kết quả không có ý nghĩa gradient định hướng và cDAI/DPL có thể phản ánh</w:t>
      </w:r>
      <w:r>
        <w:t xml:space="preserve"> </w:t>
      </w:r>
      <w:r>
        <w:rPr>
          <w:iCs/>
          <w:i/>
        </w:rPr>
        <w:t xml:space="preserve">k</w:t>
      </w:r>
      <w:r>
        <w:t xml:space="preserve"> </w:t>
      </w:r>
      <w:r>
        <w:t xml:space="preserve">không đủ trong các ô chế độ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một tìm kiếm WoS/Scopus chính thức nhắm vào Frontier/SIDS cần thiết trước khi kết quả không có ý nghĩa gradient có thể được xem là dứt khoát. (2) Dị thường ô Frontier (</w:t>
      </w:r>
      <w:r>
        <w:rPr>
          <w:iCs/>
          <w:i/>
        </w:rPr>
        <w:t xml:space="preserve">r̄</w:t>
      </w:r>
      <w:r>
        <w:t xml:space="preserve"> </w:t>
      </w:r>
      <w:r>
        <w:t xml:space="preserve">= 0.349 trên</w:t>
      </w:r>
      <w:r>
        <w:t xml:space="preserve"> </w:t>
      </w:r>
      <w:r>
        <w:rPr>
          <w:iCs/>
          <w:i/>
        </w:rPr>
        <w:t xml:space="preserve">K</w:t>
      </w:r>
      <w:r>
        <w:t xml:space="preserve"> </w:t>
      </w:r>
      <w:r>
        <w:t xml:space="preserve">= 3, với một outlier Iran) cho ước lượng không đáng tin cậy. (3) cDAI được gán ở cấp nghiên cứu qua các điểm WB DAI / ITU DDI quốc gia, năm, không xuất phát từ áp dụng số cấp doanh nghiệp; sai lệch vintage có thể làm yếu điều tiết. (4) Tìm kiếm giới hạn ở các công bố tiếng Anh đại diện không đầy đủ các công trình Trung Quốc, Nhật Bản, Hàn Quốc và Đông Nam Á. (5) Trích xuất một coder và mã hóa biến điều tiết (do coder chính thực hiện) ngăn chặn độ tin cậy giữa các coder chính thức; chất lượng mã hóa được hỗ trợ bằng hiệu chuẩn pilot và xác minh nhập kép (Mục 3.3.2). Kiểm tra độ tin cậy mã đôi là ưu tiên cho phần mở rộng tìm kiếm chính thức đã lên kế hoạch.</w:t>
      </w:r>
    </w:p>
    <w:p>
      <w:pPr>
        <w:pStyle w:val="BodyText"/>
      </w:pPr>
      <w:r>
        <w:rPr>
          <w:bCs/>
          <w:b/>
        </w:rPr>
        <w:t xml:space="preserve">Nghiên cứu tương lai.</w:t>
      </w:r>
      <w:r>
        <w:t xml:space="preserve"> </w:t>
      </w:r>
      <w:r>
        <w:t xml:space="preserve">Ba hướng theo từ các phát hiện biến điều tiết không có ý nghĩa. Thứ nhất, một tìm kiếm hệ thống WoS/Scopus chính thức nhắm vào các nền kinh tế Frontier và SIDS sẽ nâng</w:t>
      </w:r>
      <w:r>
        <w:t xml:space="preserve"> </w:t>
      </w:r>
      <w:r>
        <w:rPr>
          <w:iCs/>
          <w:i/>
        </w:rPr>
        <w:t xml:space="preserve">k</w:t>
      </w:r>
      <w:r>
        <w:t xml:space="preserve"> </w:t>
      </w:r>
      <w:r>
        <w:t xml:space="preserve">Frontier từ 3 lên khoảng 20–40 hợp lý, cho phép kiểm định giữa các chế độ có ý nghĩa. Thứ hai, một sao chép tiền đăng ký các giả thuyết ICRV/cDAI/DPL với phân tích công lực mỗi ô rõ ràng trên corpus</w:t>
      </w:r>
      <w:r>
        <w:t xml:space="preserve"> </w:t>
      </w:r>
      <w:r>
        <w:rPr>
          <w:iCs/>
          <w:i/>
        </w:rPr>
        <w:t xml:space="preserve">k</w:t>
      </w:r>
      <w:r>
        <w:t xml:space="preserve"> </w:t>
      </w:r>
      <w:r>
        <w:t xml:space="preserve">≥ 400 sẽ cung cấp kiểm định dứt khoát xem các biến điều tiết này có phát hiện được ở quy mô hay không. Thứ ba, phát hiện thiên lệch công bố (</w:t>
      </w:r>
      <w:r>
        <w:rPr>
          <w:iCs/>
          <w:i/>
        </w:rPr>
        <w:t xml:space="preserve">k</w:t>
      </w:r>
      <w:r>
        <w:t xml:space="preserve"> </w:t>
      </w:r>
      <w:r>
        <w:t xml:space="preserve">= 58 ước lệ,</w:t>
      </w:r>
      <w:r>
        <w:t xml:space="preserve"> </w:t>
      </w:r>
      <w:r>
        <w:rPr>
          <w:iCs/>
          <w:i/>
        </w:rPr>
        <w:t xml:space="preserve">r</w:t>
      </w:r>
      <w:r>
        <w:t xml:space="preserve"> </w:t>
      </w:r>
      <w:r>
        <w:t xml:space="preserve">điều chỉnh = 0.035) thúc đẩy kiểm toán dành riêng cho các kết quả I-P chưa công bố, khảo sát các nhà nghiên cứu, tài liệu xám và luận án, để định nghĩa giới hạn hiệu ứng quần thể thực chính xác hơn riêng trim-and-fill.</w:t>
      </w:r>
    </w:p>
    <w:p>
      <w:r>
        <w:pict>
          <v:rect style="width:0;height:1.5pt" o:hralign="center" o:hrstd="t" o:hr="t"/>
        </w:pict>
      </w:r>
    </w:p>
    <w:bookmarkEnd w:id="72"/>
    <w:bookmarkStart w:id="73"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3"/>
    <w:bookmarkStart w:id="74" w:name="quyền-lợi-cạnh-tranh"/>
    <w:p>
      <w:pPr>
        <w:pStyle w:val="Heading2"/>
      </w:pPr>
      <w:r>
        <w:t xml:space="preserve">Quyền lợi cạnh tranh</w:t>
      </w:r>
    </w:p>
    <w:p>
      <w:pPr>
        <w:pStyle w:val="FirstParagraph"/>
      </w:pPr>
      <w:r>
        <w:t xml:space="preserve">Các tác giả tuyên bố không có xung đột lợi ích.</w:t>
      </w:r>
    </w:p>
    <w:bookmarkEnd w:id="74"/>
    <w:bookmarkStart w:id="75"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5"/>
    <w:bookmarkStart w:id="81"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+ 6 hình × 280):</w:t>
      </w:r>
      <w:r>
        <w:rPr>
          <w:iCs/>
          <w:i/>
        </w:rPr>
        <w:t xml:space="preserve"> </w:t>
      </w:r>
      <m:oMath>
        <m:r>
          <m:rPr>
            <m:sty m:val="p"/>
          </m:rPr>
          <m:t>≈</m:t>
        </m:r>
      </m:oMath>
      <w:r>
        <w:rPr>
          <w:iCs/>
          <w:i/>
        </w:rPr>
        <w:t xml:space="preserve"> </w:t>
      </w:r>
      <w:r>
        <w:rPr>
          <w:iCs/>
          <w:i/>
        </w:rPr>
        <w:t xml:space="preserve">12,000 word-equivalents.</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2"/>
    <w:bookmarkEnd w:id="8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2026-05-30T14:30:24Z</dcterms:created>
  <dcterms:modified xsi:type="dcterms:W3CDTF">2026-05-30T14:30:24Z</dcterms:modified>
</cp:coreProperties>
</file>

<file path=docProps/custom.xml><?xml version="1.0" encoding="utf-8"?>
<Properties xmlns="http://schemas.openxmlformats.org/officeDocument/2006/custom-properties" xmlns:vt="http://schemas.openxmlformats.org/officeDocument/2006/docPropsVTypes"/>
</file>