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International Review</w:t>
      </w:r>
      <w:r>
        <w:t xml:space="preserve"> </w:t>
      </w:r>
      <w:r>
        <w:t xml:space="preserve">(Springer Gabler; Scopus Q1; ABS-3; FT-50 adjacent)</w:t>
      </w:r>
      <w:r>
        <w:t xml:space="preserve"> </w:t>
      </w:r>
      <w:r>
        <w:t xml:space="preserve">Submission: Q3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w:t>
      </w:r>
      <w:r>
        <w:rPr>
          <w:iCs/>
          <w:i/>
        </w:rPr>
        <w:t xml:space="preserve">metafor</w:t>
      </w:r>
      <w:r>
        <w:t xml:space="preserve">)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 Per MIR's open-science encouragement, the extended methodological appendices (PRISMA 2020 trace; full 7-moderator coding protocol; MetaEssentials-versus-</w:t>
      </w:r>
      <w:r>
        <w:rPr>
          <w:iCs/>
          <w:i/>
        </w:rPr>
        <w:t xml:space="preserve">metafor</w:t>
      </w:r>
      <w:r>
        <w:t xml:space="preserve"> </w:t>
      </w:r>
      <w:r>
        <w:t xml:space="preserve">consistency check) are deposited on OSF as supplementary materials accompanying this submission.</w:t>
      </w:r>
    </w:p>
    <w:bookmarkEnd w:id="31"/>
    <w:bookmarkStart w:id="32" w:name="ethics-statement"/>
    <w:p>
      <w:pPr>
        <w:pStyle w:val="Heading2"/>
      </w:pPr>
      <w:r>
        <w:t xml:space="preserve">Ethics Statement</w:t>
      </w:r>
    </w:p>
    <w:p>
      <w:pPr>
        <w:pStyle w:val="FirstParagraph"/>
      </w:pPr>
      <w:r>
        <w:t xml:space="preserve">This research is a meta-analysis of previously published, anonymized aggregate effect sizes from secondary sources. No primary data collection from human or animal subjects was conducted; institutional review board approval was therefore not required.</w:t>
      </w:r>
    </w:p>
    <w:bookmarkEnd w:id="32"/>
    <w:bookmarkStart w:id="3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3"/>
    <w:bookmarkStart w:id="34"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(meta-analysis)</w:t>
            </w:r>
          </w:p>
        </w:tc>
      </w:tr>
      <w:tr>
        <w:tc>
          <w:tcPr/>
          <w:p>
            <w:pPr>
              <w:pStyle w:val="Compact"/>
              <w:jc w:val="left"/>
            </w:pPr>
            <w:r>
              <w:t xml:space="preserve">Main-text prose</w:t>
            </w:r>
          </w:p>
        </w:tc>
        <w:tc>
          <w:tcPr/>
          <w:p>
            <w:pPr>
              <w:pStyle w:val="Compact"/>
              <w:jc w:val="left"/>
            </w:pPr>
            <m:oMath>
              <m:r>
                <m:rPr>
                  <m:sty m:val="p"/>
                </m:rPr>
                <m:t>≈</m:t>
              </m:r>
            </m:oMath>
            <w:r>
              <w:t xml:space="preserve"> </w:t>
            </w:r>
            <w:r>
              <w:t xml:space="preserve">11,700 words</w:t>
            </w:r>
          </w:p>
        </w:tc>
      </w:tr>
      <w:tr>
        <w:tc>
          <w:tcPr/>
          <w:p>
            <w:pPr>
              <w:pStyle w:val="Compact"/>
              <w:jc w:val="left"/>
            </w:pPr>
            <w:r>
              <w:t xml:space="preserve">Emerald-equivalent total</w:t>
            </w:r>
          </w:p>
        </w:tc>
        <w:tc>
          <w:tcPr/>
          <w:p>
            <w:pPr>
              <w:pStyle w:val="Compact"/>
              <w:jc w:val="left"/>
            </w:pPr>
            <m:oMath>
              <m:r>
                <m:rPr>
                  <m:sty m:val="p"/>
                </m:rPr>
                <m:t>≈</m:t>
              </m:r>
            </m:oMath>
            <w:r>
              <w:t xml:space="preserve"> </w:t>
            </w:r>
            <w:r>
              <w:t xml:space="preserve">17,000 (body + refs + 9 tables × 280 + 6 figures × 280)</w:t>
            </w:r>
          </w:p>
        </w:tc>
      </w:tr>
      <w:tr>
        <w:tc>
          <w:tcPr/>
          <w:p>
            <w:pPr>
              <w:pStyle w:val="Compact"/>
              <w:jc w:val="left"/>
            </w:pPr>
            <w:r>
              <w:t xml:space="preserve">Submission-build target</w:t>
            </w:r>
          </w:p>
        </w:tc>
        <w:tc>
          <w:tcPr/>
          <w:p>
            <w:pPr>
              <w:pStyle w:val="Compact"/>
              <w:jc w:val="left"/>
            </w:pPr>
            <m:oMath>
              <m:r>
                <m:rPr>
                  <m:sty m:val="p"/>
                </m:rPr>
                <m:t>≈</m:t>
              </m:r>
            </m:oMath>
            <w:r>
              <w:t xml:space="preserve"> </w:t>
            </w:r>
            <w:r>
              <w:t xml:space="preserve">12,000 (MIR cap) — appendices + 3–4 tables → OSF supplementary</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 (in-paper)</w:t>
            </w:r>
          </w:p>
        </w:tc>
        <w:tc>
          <w:tcPr/>
          <w:p>
            <w:pPr>
              <w:pStyle w:val="Compact"/>
              <w:jc w:val="left"/>
            </w:pPr>
            <w:r>
              <w:t xml:space="preserve">5–6 after OSF migration (currently 9)</w:t>
            </w:r>
          </w:p>
        </w:tc>
      </w:tr>
      <w:tr>
        <w:tc>
          <w:tcPr/>
          <w:p>
            <w:pPr>
              <w:pStyle w:val="Compact"/>
              <w:jc w:val="left"/>
            </w:pPr>
            <w:r>
              <w:t xml:space="preserve">Figures</w:t>
            </w:r>
          </w:p>
        </w:tc>
        <w:tc>
          <w:tcPr/>
          <w:p>
            <w:pPr>
              <w:pStyle w:val="Compact"/>
              <w:jc w:val="left"/>
            </w:pPr>
            <w:r>
              <w:t xml:space="preserve">6 (conceptual model; ICRV forest; DPL phase; leave-one-out sensitivity; funnel plot; year-distribution histogram)</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publication bias</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w:t>
            </w:r>
            <w:r>
              <w:rPr>
                <w:iCs/>
                <w:i/>
              </w:rPr>
              <w:t xml:space="preserve">metafor</w:t>
            </w:r>
            <w:r>
              <w:t xml:space="preserve">); Python (numpy / 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r>
        <w:tc>
          <w:tcPr/>
          <w:p>
            <w:pPr>
              <w:pStyle w:val="Compact"/>
              <w:jc w:val="left"/>
            </w:pPr>
            <w:r>
              <w:t xml:space="preserve">Reference style</w:t>
            </w:r>
          </w:p>
        </w:tc>
        <w:tc>
          <w:tcPr/>
          <w:p>
            <w:pPr>
              <w:pStyle w:val="Compact"/>
              <w:jc w:val="left"/>
            </w:pPr>
            <w:r>
              <w:t xml:space="preserve">APA 7 (MIR-compatible)</w:t>
            </w:r>
          </w:p>
        </w:tc>
      </w:tr>
    </w:tbl>
    <w:bookmarkEnd w:id="34"/>
    <w:bookmarkEnd w:id="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2026-05-30T14:30:25Z</dcterms:created>
  <dcterms:modified xsi:type="dcterms:W3CDTF">2026-05-30T14:30:25Z</dcterms:modified>
</cp:coreProperties>
</file>

<file path=docProps/custom.xml><?xml version="1.0" encoding="utf-8"?>
<Properties xmlns="http://schemas.openxmlformats.org/officeDocument/2006/custom-properties" xmlns:vt="http://schemas.openxmlformats.org/officeDocument/2006/docPropsVTypes"/>
</file>