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62.5%.</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Two screeners applied criteria in two stages (title/abstract, then full text), with a third reviewer adjudicating.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synthesized corpus is k = 238 studies, K = 288 effect sizes, assembled by citation-anchored systematic searching rather than an exhaustive database census; the flow is reported under the PRISMA 2020 "studies identified via other methods" variant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(Peterson &amp; Brown, 2005);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2026-06-09T04:50:53Z</dcterms:created>
  <dcterms:modified xsi:type="dcterms:W3CDTF">2026-06-09T04:50:53Z</dcterms:modified>
</cp:coreProperties>
</file>

<file path=docProps/custom.xml><?xml version="1.0" encoding="utf-8"?>
<Properties xmlns="http://schemas.openxmlformats.org/officeDocument/2006/custom-properties" xmlns:vt="http://schemas.openxmlformats.org/officeDocument/2006/docPropsVTypes"/>
</file>