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kế-hoạch-luận-án-tối-ưu"/>
    <w:p>
      <w:pPr>
        <w:pStyle w:val="Heading1"/>
      </w:pPr>
      <w:r>
        <w:t xml:space="preserve">Kế hoạch luận án tối ưu</w:t>
      </w:r>
    </w:p>
    <w:bookmarkStart w:id="20" w:name="Xfe922e0833c789a132c0fbb5e97ef57e3adb7a9"/>
    <w:p>
      <w:pPr>
        <w:pStyle w:val="Heading2"/>
      </w:pPr>
      <w:r>
        <w:t xml:space="preserve">Thông tin chung (theo Quyết định 4769/QĐ-ĐHCT, 15/10/2024)</w:t>
      </w:r>
    </w:p>
    <w:p>
      <w:pPr>
        <w:numPr>
          <w:ilvl w:val="0"/>
          <w:numId w:val="1001"/>
        </w:numPr>
        <w:pStyle w:val="Compact"/>
      </w:pPr>
      <w:r>
        <w:rPr>
          <w:bCs/>
          <w:b/>
        </w:rPr>
        <w:t xml:space="preserve">Tên đề tài luận án (chính thức, theo QĐ 4769)</w:t>
      </w:r>
      <w:r>
        <w:t xml:space="preserve">: Quốc tế hóa và hiệu quả hoạt động kinh doanh của các doanh nghiệp ở Châu Á</w:t>
      </w:r>
    </w:p>
    <w:p>
      <w:pPr>
        <w:numPr>
          <w:ilvl w:val="0"/>
          <w:numId w:val="1001"/>
        </w:numPr>
        <w:pStyle w:val="Compact"/>
      </w:pPr>
      <w:r>
        <w:rPr>
          <w:bCs/>
          <w:b/>
        </w:rPr>
        <w:t xml:space="preserve">Tên đề tài (EN)</w:t>
      </w:r>
      <w:r>
        <w:t xml:space="preserve">: Internationalization and Firm Performance of Enterprises in Asia</w:t>
      </w:r>
    </w:p>
    <w:p>
      <w:pPr>
        <w:numPr>
          <w:ilvl w:val="0"/>
          <w:numId w:val="1001"/>
        </w:numPr>
        <w:pStyle w:val="Compact"/>
      </w:pPr>
      <w:r>
        <w:rPr>
          <w:bCs/>
          <w:b/>
        </w:rPr>
        <w:t xml:space="preserve">NCS</w:t>
      </w:r>
      <w:r>
        <w:t xml:space="preserve">: Đỗ Thùy Hương</w:t>
      </w:r>
    </w:p>
    <w:p>
      <w:pPr>
        <w:numPr>
          <w:ilvl w:val="0"/>
          <w:numId w:val="1001"/>
        </w:numPr>
        <w:pStyle w:val="Compact"/>
      </w:pPr>
      <w:r>
        <w:rPr>
          <w:bCs/>
          <w:b/>
        </w:rPr>
        <w:t xml:space="preserve">Mã NCS</w:t>
      </w:r>
      <w:r>
        <w:t xml:space="preserve">: P1323001</w:t>
      </w:r>
    </w:p>
    <w:p>
      <w:pPr>
        <w:numPr>
          <w:ilvl w:val="0"/>
          <w:numId w:val="1001"/>
        </w:numPr>
        <w:pStyle w:val="Compact"/>
      </w:pPr>
      <w:r>
        <w:rPr>
          <w:bCs/>
          <w:b/>
        </w:rPr>
        <w:t xml:space="preserve">Khóa</w:t>
      </w:r>
      <w:r>
        <w:t xml:space="preserve">: 2023 đợt 1</w:t>
      </w:r>
    </w:p>
    <w:p>
      <w:pPr>
        <w:numPr>
          <w:ilvl w:val="0"/>
          <w:numId w:val="1001"/>
        </w:numPr>
        <w:pStyle w:val="Compact"/>
      </w:pPr>
      <w:r>
        <w:rPr>
          <w:bCs/>
          <w:b/>
        </w:rPr>
        <w:t xml:space="preserve">Ngành</w:t>
      </w:r>
      <w:r>
        <w:t xml:space="preserve">: Quản trị kinh doanh</w:t>
      </w:r>
    </w:p>
    <w:p>
      <w:pPr>
        <w:numPr>
          <w:ilvl w:val="0"/>
          <w:numId w:val="1001"/>
        </w:numPr>
        <w:pStyle w:val="Compact"/>
      </w:pPr>
      <w:r>
        <w:rPr>
          <w:bCs/>
          <w:b/>
        </w:rPr>
        <w:t xml:space="preserve">Mã ngành</w:t>
      </w:r>
      <w:r>
        <w:t xml:space="preserve">: 9340101</w:t>
      </w:r>
    </w:p>
    <w:p>
      <w:pPr>
        <w:numPr>
          <w:ilvl w:val="0"/>
          <w:numId w:val="1001"/>
        </w:numPr>
        <w:pStyle w:val="Compact"/>
      </w:pPr>
      <w:r>
        <w:rPr>
          <w:bCs/>
          <w:b/>
        </w:rPr>
        <w:t xml:space="preserve">Người hướng dẫn</w:t>
      </w:r>
      <w:r>
        <w:t xml:space="preserve">: PGS.TS. Phan Anh Tú, Trường Đại học Cần Thơ</w:t>
      </w:r>
    </w:p>
    <w:p>
      <w:pPr>
        <w:numPr>
          <w:ilvl w:val="0"/>
          <w:numId w:val="1001"/>
        </w:numPr>
        <w:pStyle w:val="Compact"/>
      </w:pPr>
      <w:r>
        <w:rPr>
          <w:bCs/>
          <w:b/>
        </w:rPr>
        <w:t xml:space="preserve">Đơn vị đào tạo</w:t>
      </w:r>
      <w:r>
        <w:t xml:space="preserve">: Trường Kinh tế, Đại học Cần Thơ</w:t>
      </w:r>
    </w:p>
    <w:p>
      <w:pPr>
        <w:numPr>
          <w:ilvl w:val="0"/>
          <w:numId w:val="1001"/>
        </w:numPr>
        <w:pStyle w:val="Compact"/>
      </w:pPr>
      <w:r>
        <w:rPr>
          <w:bCs/>
          <w:b/>
        </w:rPr>
        <w:t xml:space="preserve">Loại hình</w:t>
      </w:r>
      <w:r>
        <w:t xml:space="preserve">: Luận án tiến sĩ truyền thống, 5 chương (không paper-based)</w:t>
      </w:r>
    </w:p>
    <w:p>
      <w:pPr>
        <w:numPr>
          <w:ilvl w:val="0"/>
          <w:numId w:val="1001"/>
        </w:numPr>
        <w:pStyle w:val="Compact"/>
      </w:pPr>
      <w:r>
        <w:rPr>
          <w:bCs/>
          <w:b/>
        </w:rPr>
        <w:t xml:space="preserve">Ngôn ngữ</w:t>
      </w:r>
      <w:r>
        <w:t xml:space="preserve">: Luận án viết tiếng Việt; các bản thảo bài báo công bố quốc tế viết bằng tiếng Anh</w:t>
      </w:r>
    </w:p>
    <w:p>
      <w:pPr>
        <w:numPr>
          <w:ilvl w:val="0"/>
          <w:numId w:val="1001"/>
        </w:numPr>
        <w:pStyle w:val="Compact"/>
      </w:pPr>
      <w:r>
        <w:rPr>
          <w:bCs/>
          <w:b/>
        </w:rPr>
        <w:t xml:space="preserve">Trọng tâm khoa học (subtitle học thuật, dùng trong abstract và mô tả nội dung)</w:t>
      </w:r>
      <w:r>
        <w:t xml:space="preserve">: Vai trò điều tiết của thể chế, năng lực số và đặc điểm nhà quản trị</w:t>
      </w:r>
    </w:p>
    <w:p>
      <w:pPr>
        <w:pStyle w:val="BlockText"/>
      </w:pPr>
      <w:r>
        <w:rPr>
          <w:iCs/>
          <w:i/>
        </w:rPr>
        <w:t xml:space="preserve">Ghi chú phạm vi</w:t>
      </w:r>
      <w:r>
        <w:t xml:space="preserve">: Tên LATS chính thức theo QĐ 4769 chỉ ghi "ở Châu Á". Pool dữ liệu mở rộng bao gồm 6 nước Pacific SIDS được xử lý như</w:t>
      </w:r>
      <w:r>
        <w:t xml:space="preserve"> </w:t>
      </w:r>
      <w:r>
        <w:rPr>
          <w:bCs/>
          <w:b/>
        </w:rPr>
        <w:t xml:space="preserve">boundary case adjacent to Asia</w:t>
      </w:r>
      <w:r>
        <w:t xml:space="preserve"> </w:t>
      </w:r>
      <w:r>
        <w:t xml:space="preserve">trong phần phương pháp (Chương 3) và phụ lục, không thuộc tên đề tài chính thức.</w:t>
      </w:r>
    </w:p>
    <w:bookmarkEnd w:id="20"/>
    <w:bookmarkStart w:id="21" w:name="X1d10b9498f16ef2dffb0ec84d821d2ddb3fa0ee"/>
    <w:p>
      <w:pPr>
        <w:pStyle w:val="Heading2"/>
      </w:pPr>
      <w:r>
        <w:t xml:space="preserve">1. Câu hỏi nghiên cứu trung tâm</w:t>
      </w:r>
    </w:p>
    <w:p>
      <w:pPr>
        <w:pStyle w:val="FirstParagraph"/>
      </w:pPr>
      <w:r>
        <w:t xml:space="preserve">Quốc tế hóa ảnh hưởng đến hiệu quả hoạt động của doanh nghiệp ở các quốc gia châu Á như thế nào, và những điều kiện thể chế, năng lực số cùng đặc điểm nhà quản trị nào giải thích sự không đồng nhất (heterogeneity) của mối quan hệ này?</w:t>
      </w:r>
    </w:p>
    <w:p>
      <w:pPr>
        <w:pStyle w:val="BodyText"/>
      </w:pPr>
      <w:r>
        <w:t xml:space="preserve">Câu hỏi trên được phát triển trên cơ sở bằng chứng meta-analysis hiện có cho thấy tác động tổng hợp của quốc tế hóa lên firm performance là dương nhưng nhỏ và có mức dị biệt rất cao giữa các nghiên cứu (Bausch &amp; Krist, 2007; Kirca et al., 2012; Marano et al., 2016; Wu et al., 2022). Điều này hàm ý rằng nghiên cứu không nên dừng ở việc xác nhận "có hay không có tác động", mà phải chuyển sang giải thích "trong điều kiện nào, cơ chế nào, và bối cảnh nào".</w:t>
      </w:r>
    </w:p>
    <w:bookmarkEnd w:id="21"/>
    <w:bookmarkStart w:id="26" w:name="Xeb448e75737c546b96f28c974e6ae67f0778e63"/>
    <w:p>
      <w:pPr>
        <w:pStyle w:val="Heading2"/>
      </w:pPr>
      <w:r>
        <w:t xml:space="preserve">2. Tính mới (Novelty)</w:t>
      </w:r>
    </w:p>
    <w:bookmarkStart w:id="22" w:name="Xb0e0a5919814d318b02487a3005b2a5f62b591a"/>
    <w:p>
      <w:pPr>
        <w:pStyle w:val="Heading3"/>
      </w:pPr>
      <w:r>
        <w:t xml:space="preserve">2.1 Tính mới về lý thuyết</w:t>
      </w:r>
    </w:p>
    <w:p>
      <w:pPr>
        <w:pStyle w:val="FirstParagraph"/>
      </w:pPr>
      <w:r>
        <w:t xml:space="preserve">Luận án tích hợp bốn lý thuyết kinh điển của kinh doanh quốc tế — Uppsala Internationalization Model (Johanson &amp; Vahlne, 1977, 2009), Resource-Based View (Barney, 1991), Institutional Theory (North, 1990; Khanna &amp; Palepu, 2010), và Upper Echelons Theory (Hambrick &amp; Mason, 1984) — vào một</w:t>
      </w:r>
      <w:r>
        <w:t xml:space="preserve"> </w:t>
      </w:r>
      <w:r>
        <w:rPr>
          <w:bCs/>
          <w:b/>
        </w:rPr>
        <w:t xml:space="preserve">khung giải thích đa tầng</w:t>
      </w:r>
      <w:r>
        <w:t xml:space="preserve"> </w:t>
      </w:r>
      <w:r>
        <w:t xml:space="preserve">cho mối quan hệ internationalization–firm performance. Khung này được mở rộng bằng</w:t>
      </w:r>
      <w:r>
        <w:t xml:space="preserve"> </w:t>
      </w:r>
      <w:r>
        <w:rPr>
          <w:bCs/>
          <w:b/>
        </w:rPr>
        <w:t xml:space="preserve">digital capability lens</w:t>
      </w:r>
      <w:r>
        <w:t xml:space="preserve"> </w:t>
      </w:r>
      <w:r>
        <w:t xml:space="preserve">để phản ánh chuyển đổi số và bối cảnh AI trong quốc tế hóa đương đại (Banalieva &amp; Dhanaraj, 2019; Stallkamp &amp; Schotter, 2021; Verhoef et al., 2021; Yang et al., 2025).</w:t>
      </w:r>
    </w:p>
    <w:p>
      <w:pPr>
        <w:pStyle w:val="BodyText"/>
      </w:pPr>
      <w:r>
        <w:t xml:space="preserve">Một đóng góp lý thuyết đặc biệt là</w:t>
      </w:r>
      <w:r>
        <w:t xml:space="preserve"> </w:t>
      </w:r>
      <w:r>
        <w:rPr>
          <w:bCs/>
          <w:b/>
        </w:rPr>
        <w:t xml:space="preserve">tái định vị Uppsala model</w:t>
      </w:r>
      <w:r>
        <w:t xml:space="preserve"> </w:t>
      </w:r>
      <w:r>
        <w:t xml:space="preserve">trong kỷ nguyên số: từ "experiential learning tuần tự" sang "data-augmented learning". Trong bối cảnh born-digital firms và platform internationalization, giả định cốt lõi của Uppsala về tiến trình tích lũy tri thức và cam kết tăng dần đã bị thách thức, nhưng lực đẩy học hỏi và chống đỡ bất định vẫn còn hợp lý cho các doanh nghiệp ở emerging Asia (Banalieva &amp; Dhanaraj, 2019; Yang et al., 2025).</w:t>
      </w:r>
    </w:p>
    <w:bookmarkEnd w:id="22"/>
    <w:bookmarkStart w:id="23" w:name="Xdc34482892195db6887a18f282fac8efd83fb4f"/>
    <w:p>
      <w:pPr>
        <w:pStyle w:val="Heading3"/>
      </w:pPr>
      <w:r>
        <w:t xml:space="preserve">2.2 Tính mới về phương pháp</w:t>
      </w:r>
    </w:p>
    <w:p>
      <w:pPr>
        <w:pStyle w:val="FirstParagraph"/>
      </w:pPr>
      <w:r>
        <w:t xml:space="preserve">Luận án kết hợp</w:t>
      </w:r>
      <w:r>
        <w:t xml:space="preserve"> </w:t>
      </w:r>
      <w:r>
        <w:rPr>
          <w:bCs/>
          <w:b/>
        </w:rPr>
        <w:t xml:space="preserve">meta-analytic synthesis</w:t>
      </w:r>
      <w:r>
        <w:t xml:space="preserve"> </w:t>
      </w:r>
      <w:r>
        <w:t xml:space="preserve">(cập nhật 1982–2026, pool K=309 / k=259, k≥250 đã đạt — 23/05/2026) với</w:t>
      </w:r>
      <w:r>
        <w:t xml:space="preserve"> </w:t>
      </w:r>
      <w:r>
        <w:rPr>
          <w:bCs/>
          <w:b/>
        </w:rPr>
        <w:t xml:space="preserve">multi-country empirical analysis</w:t>
      </w:r>
      <w:r>
        <w:t xml:space="preserve"> </w:t>
      </w:r>
      <w:r>
        <w:t xml:space="preserve">sử dụng dữ liệu vi mô của các nền kinh tế châu Á (101.185 doanh nghiệp · 108 cặp quốc gia × năm · giai đoạn 2009–2025) từ World Bank Enterprise Surveys, kế thừa và mở rộng từ pool 17 nước châu Á mới nổi đã được tác giả công bố trước đó (Đỗ &amp; Phan, 2026 — VEFR). Pool đầy đủ bao gồm 47–49 nền kinh tế châu Á và Thái Bình Dương (bao gồm 6–8 nền kinh tế Pacific SIDS) trong phạm vi đề tài chính thức. Thiết kế nghiên cứu mixed synthesis-empirical này hiếm gặp trong literature IB về châu Á và cho phép đối thoại đồng thời giữa bằng chứng tổng hợp ở cấp literature và bằng chứng thực nghiệm trực tiếp ở cấp doanh nghiệp (Borenstein et al., 2009; Hunter &amp; Schmidt, 2004).</w:t>
      </w:r>
    </w:p>
    <w:bookmarkEnd w:id="23"/>
    <w:bookmarkStart w:id="24" w:name="Xc0197904a19973c6817173df2ede64c5ef003ae"/>
    <w:p>
      <w:pPr>
        <w:pStyle w:val="Heading3"/>
      </w:pPr>
      <w:r>
        <w:t xml:space="preserve">2.3 Tính mới về thực nghiệm</w:t>
      </w:r>
    </w:p>
    <w:p>
      <w:pPr>
        <w:pStyle w:val="FirstParagraph"/>
      </w:pPr>
      <w:r>
        <w:t xml:space="preserve">Luận án cung cấp ba đóng góp thực nghiệm mới:</w:t>
      </w:r>
    </w:p>
    <w:p>
      <w:pPr>
        <w:numPr>
          <w:ilvl w:val="0"/>
          <w:numId w:val="1002"/>
        </w:numPr>
        <w:pStyle w:val="Compact"/>
      </w:pPr>
      <w:r>
        <w:rPr>
          <w:bCs/>
          <w:b/>
        </w:rPr>
        <w:t xml:space="preserve">Phân tách hai construct số</w:t>
      </w:r>
      <w:r>
        <w:t xml:space="preserve">: technological capability (TCI) và digital adoption (DAI) được xử lý như hai construct riêng biệt, không đồng nhất về nội hàm hay cơ chế vận hành. Phân tách này tựa vào (i) phân tầng lý thuyết của Verhoef et al. (2021) — TCI tương ứng tier "digital transformation" (chiều sâu năng lực nội tại), DAI tương ứng tier "digitization/digitalization" (giao diện và cơ chế giao dịch số); (ii) truyền thống Lall (1992) và Cohen &amp; Levinthal (1990) coi technological capability là tồn kho năng lực nội tại; (iii) Bharadwaj et al. (2013) phân biệt IT capability với digital business strategy; (iv) Bhandari et al. (2023) áp dụng resource-orchestration logic cho I→P relationship cho thấy hai construct có nomological nets khác nhau. Methodologically, hai construct thỏa mãn 4 tiêu chí formative composite của Coltman et al. (2008).</w:t>
      </w:r>
    </w:p>
    <w:p>
      <w:pPr>
        <w:numPr>
          <w:ilvl w:val="0"/>
          <w:numId w:val="1002"/>
        </w:numPr>
        <w:pStyle w:val="Compact"/>
      </w:pPr>
      <w:r>
        <w:rPr>
          <w:bCs/>
          <w:b/>
        </w:rPr>
        <w:t xml:space="preserve">Temporal heterogeneity test</w:t>
      </w:r>
      <w:r>
        <w:t xml:space="preserve">: kiểm định liệu cấu trúc phi tuyến của quan hệ I–P có ổn định giữa hai mốc 2012 và 2024 trong bối cảnh Trung Quốc, kế thừa bằng chứng cubic inverted-U (Đỗ &amp; Phan, 2026 — JFAR; Xiao et al., 2013; Wu et al., 2022).</w:t>
      </w:r>
    </w:p>
    <w:p>
      <w:pPr>
        <w:numPr>
          <w:ilvl w:val="0"/>
          <w:numId w:val="1002"/>
        </w:numPr>
        <w:pStyle w:val="Compact"/>
      </w:pPr>
      <w:r>
        <w:rPr>
          <w:bCs/>
          <w:b/>
        </w:rPr>
        <w:t xml:space="preserve">Three-way moderation</w:t>
      </w:r>
      <w:r>
        <w:t xml:space="preserve">: kiểm định tương tác giữa digital capability × institutional regime × top manager characteristics — cấu hình chưa được kiểm định tổng thể trong literature IB về châu Á.</w:t>
      </w:r>
    </w:p>
    <w:bookmarkEnd w:id="24"/>
    <w:bookmarkStart w:id="25" w:name="X83e2b26aa9cf948bdbd49f2f48884f250ef08d7"/>
    <w:p>
      <w:pPr>
        <w:pStyle w:val="Heading3"/>
      </w:pPr>
      <w:r>
        <w:t xml:space="preserve">2.4 Tính mới về bối cảnh</w:t>
      </w:r>
    </w:p>
    <w:p>
      <w:pPr>
        <w:pStyle w:val="FirstParagraph"/>
      </w:pPr>
      <w:r>
        <w:t xml:space="preserve">Luận án tập trung vào các nền kinh tế châu Á với 6 sub-regime ICRV (Advanced innovation-driven, Advanced resource-driven, Upper-middle, Emerging, Frontier, và boundary case Pacific SIDS adjacent), bao trùm phạm vi địa lý đa dạng — vượt xa 17 nước trong P1 (Đỗ &amp; Phan, 2026 — VEFR) và underrepresented trong các meta-analyses quốc tế trước đây (Marano et al., 2016; Wu et al., 2022; Arte &amp; Larimo, 2022). Khu vực này đặc biệt phù hợp để kiểm định khung lý thuyết đa tầng vì institutional voids cao hơn OECD (Khanna &amp; Palepu, 2010), đồng thời tốc độ chuyển đổi số của doanh nghiệp không đồng đều, tạo ra dataset lý tưởng để quan sát heterogeneity.</w:t>
      </w:r>
    </w:p>
    <w:bookmarkEnd w:id="25"/>
    <w:bookmarkEnd w:id="26"/>
    <w:bookmarkStart w:id="31" w:name="X6f042d8ffafc73a891bc2d366757b040c1f6456"/>
    <w:p>
      <w:pPr>
        <w:pStyle w:val="Heading2"/>
      </w:pPr>
      <w:r>
        <w:t xml:space="preserve">3. Đóng góp dự kiến</w:t>
      </w:r>
    </w:p>
    <w:bookmarkStart w:id="27" w:name="X9cc63e5cafabfb02047bba56b395ccc1f7ad021"/>
    <w:p>
      <w:pPr>
        <w:pStyle w:val="Heading3"/>
      </w:pPr>
      <w:r>
        <w:t xml:space="preserve">3.1 Đóng góp lý thuyết</w:t>
      </w:r>
    </w:p>
    <w:p>
      <w:pPr>
        <w:numPr>
          <w:ilvl w:val="0"/>
          <w:numId w:val="1003"/>
        </w:numPr>
        <w:pStyle w:val="Compact"/>
      </w:pPr>
      <w:r>
        <w:t xml:space="preserve">Xây dựng</w:t>
      </w:r>
      <w:r>
        <w:t xml:space="preserve"> </w:t>
      </w:r>
      <w:r>
        <w:rPr>
          <w:bCs/>
          <w:b/>
        </w:rPr>
        <w:t xml:space="preserve">khung tích hợp đa tầng</w:t>
      </w:r>
      <w:r>
        <w:t xml:space="preserve">: institutional (vĩ mô) × capability (tổ chức) × managerial (cá nhân) × digital (lớp mở rộng) → giải thích heterogeneity của I–P relationship một cách hệ thống (Hambrick &amp; Mason, 1984; Khanna &amp; Palepu, 2010; Verhoef et al., 2021).</w:t>
      </w:r>
    </w:p>
    <w:p>
      <w:pPr>
        <w:numPr>
          <w:ilvl w:val="0"/>
          <w:numId w:val="1003"/>
        </w:numPr>
        <w:pStyle w:val="Compact"/>
      </w:pPr>
      <w:r>
        <w:t xml:space="preserve">Tái định vị Uppsala cho kỷ nguyên AI: từ "physical-presence learning" sang "data-augmented internationalization" (Banalieva &amp; Dhanaraj, 2019; Stallkamp &amp; Schotter, 2021).</w:t>
      </w:r>
    </w:p>
    <w:p>
      <w:pPr>
        <w:numPr>
          <w:ilvl w:val="0"/>
          <w:numId w:val="1003"/>
        </w:numPr>
        <w:pStyle w:val="Compact"/>
      </w:pPr>
      <w:r>
        <w:t xml:space="preserve">Cung cấp bằng chứng về</w:t>
      </w:r>
      <w:r>
        <w:t xml:space="preserve"> </w:t>
      </w:r>
      <w:r>
        <w:rPr>
          <w:bCs/>
          <w:b/>
        </w:rPr>
        <w:t xml:space="preserve">moderator hierarchy</w:t>
      </w:r>
      <w:r>
        <w:t xml:space="preserve"> </w:t>
      </w:r>
      <w:r>
        <w:t xml:space="preserve">— thứ tự ưu tiên của các tầng điều tiết trong việc giải thích biến thiên hiệu quả hoạt động.</w:t>
      </w:r>
    </w:p>
    <w:bookmarkEnd w:id="27"/>
    <w:bookmarkStart w:id="28" w:name="Xac55a8d9da93a03ff022ce9b32c17245d835c75"/>
    <w:p>
      <w:pPr>
        <w:pStyle w:val="Heading3"/>
      </w:pPr>
      <w:r>
        <w:t xml:space="preserve">3.2 Đóng góp thực nghiệm</w:t>
      </w:r>
    </w:p>
    <w:p>
      <w:pPr>
        <w:numPr>
          <w:ilvl w:val="0"/>
          <w:numId w:val="1004"/>
        </w:numPr>
        <w:pStyle w:val="Compact"/>
      </w:pPr>
      <w:r>
        <w:t xml:space="preserve">Cập nhật bằng chứng meta-analytic của literature I–P đến 2026 với pool nghiên cứu mở rộng.</w:t>
      </w:r>
    </w:p>
    <w:p>
      <w:pPr>
        <w:numPr>
          <w:ilvl w:val="0"/>
          <w:numId w:val="1004"/>
        </w:numPr>
        <w:pStyle w:val="Compact"/>
      </w:pPr>
      <w:r>
        <w:t xml:space="preserve">Bằng chứng cross-country trên các nền kinh tế châu Á — quy mô lớn nhất cho khu vực, mở rộng từ pool 17 nước trong Đỗ và Phan (2026 — VEFR) lên 41 nước châu Á (cộng 6 Pacific SIDS adjacent), với 101.185 doanh nghiệp.</w:t>
      </w:r>
    </w:p>
    <w:p>
      <w:pPr>
        <w:numPr>
          <w:ilvl w:val="0"/>
          <w:numId w:val="1004"/>
        </w:numPr>
        <w:pStyle w:val="Compact"/>
      </w:pPr>
      <w:r>
        <w:t xml:space="preserve">Bằng chứng về</w:t>
      </w:r>
      <w:r>
        <w:t xml:space="preserve"> </w:t>
      </w:r>
      <w:r>
        <w:rPr>
          <w:bCs/>
          <w:b/>
        </w:rPr>
        <w:t xml:space="preserve">digital shield effect</w:t>
      </w:r>
      <w:r>
        <w:t xml:space="preserve">: công nghệ làm suy giảm tác động bất lợi của institutional obstacles đối với năng suất doanh nghiệp — pattern đã được nhận diện ở 17 nước châu Á mới nổi (Đỗ &amp; Phan, 2026 — VEFR) và sẽ được kiểm định mở rộng (Barney, 1991; Bhandari et al., 2023; North, 1990).</w:t>
      </w:r>
    </w:p>
    <w:p>
      <w:pPr>
        <w:numPr>
          <w:ilvl w:val="0"/>
          <w:numId w:val="1004"/>
        </w:numPr>
        <w:pStyle w:val="Compact"/>
      </w:pPr>
      <w:r>
        <w:t xml:space="preserve">Bằng chứng phi tuyến cubic ở Trung Quốc với turning point ~47,8% FSTS (Đỗ &amp; Phan, 2026 — JFAR) — làm baseline cho temporal heterogeneity test China 2012–2024.</w:t>
      </w:r>
    </w:p>
    <w:bookmarkEnd w:id="28"/>
    <w:bookmarkStart w:id="29" w:name="Xa215dd72aabc0ef95d4dcfc1f5d13646f222605"/>
    <w:p>
      <w:pPr>
        <w:pStyle w:val="Heading3"/>
      </w:pPr>
      <w:r>
        <w:t xml:space="preserve">3.3 Đóng góp phương pháp</w:t>
      </w:r>
    </w:p>
    <w:p>
      <w:pPr>
        <w:numPr>
          <w:ilvl w:val="0"/>
          <w:numId w:val="1005"/>
        </w:numPr>
        <w:pStyle w:val="Compact"/>
      </w:pPr>
      <w:r>
        <w:rPr>
          <w:bCs/>
          <w:b/>
        </w:rPr>
        <w:t xml:space="preserve">Measurement harmonization protocol</w:t>
      </w:r>
      <w:r>
        <w:t xml:space="preserve"> </w:t>
      </w:r>
      <w:r>
        <w:t xml:space="preserve">cho digital constructs xuyên các bối cảnh quốc gia, giúp bảo đảm tính so sánh của các kết quả thực nghiệm giữa các nghiên cứu theo quốc gia và nghiên cứu multi-country.</w:t>
      </w:r>
    </w:p>
    <w:p>
      <w:pPr>
        <w:numPr>
          <w:ilvl w:val="0"/>
          <w:numId w:val="1005"/>
        </w:numPr>
        <w:pStyle w:val="Compact"/>
      </w:pPr>
      <w:r>
        <w:rPr>
          <w:bCs/>
          <w:b/>
        </w:rPr>
        <w:t xml:space="preserve">Mixed synthesis-empirical design</w:t>
      </w:r>
      <w:r>
        <w:t xml:space="preserve"> </w:t>
      </w:r>
      <w:r>
        <w:t xml:space="preserve">kết hợp meta-analysis và multi-country analysis trong cùng một luận án, tăng sức mạnh đối thoại với literature quốc tế.</w:t>
      </w:r>
    </w:p>
    <w:p>
      <w:pPr>
        <w:numPr>
          <w:ilvl w:val="0"/>
          <w:numId w:val="1005"/>
        </w:numPr>
        <w:pStyle w:val="Compact"/>
      </w:pPr>
      <w:r>
        <w:rPr>
          <w:bCs/>
          <w:b/>
        </w:rPr>
        <w:t xml:space="preserve">Pipeline hòa hợp 3 thế hệ schema WBES</w:t>
      </w:r>
      <w:r>
        <w:t xml:space="preserve"> </w:t>
      </w:r>
      <w:r>
        <w:t xml:space="preserve">(PICS3 2009–2012, Standardized 2013–2017, BREADY/BEE 2018–2025) cho 47 nền kinh tế trong pool dữ liệu (41 châu Á + 6 Pacific SIDS adjacent).</w:t>
      </w:r>
    </w:p>
    <w:bookmarkEnd w:id="29"/>
    <w:bookmarkStart w:id="30" w:name="X4be20a9db1f834636fad37a5115e4289d1a386c"/>
    <w:p>
      <w:pPr>
        <w:pStyle w:val="Heading3"/>
      </w:pPr>
      <w:r>
        <w:t xml:space="preserve">3.4 Đóng góp thực tiễn</w:t>
      </w:r>
    </w:p>
    <w:p>
      <w:pPr>
        <w:numPr>
          <w:ilvl w:val="0"/>
          <w:numId w:val="1006"/>
        </w:numPr>
        <w:pStyle w:val="Compact"/>
      </w:pPr>
      <w:r>
        <w:rPr>
          <w:bCs/>
          <w:b/>
        </w:rPr>
        <w:t xml:space="preserve">Đối với doanh nghiệp</w:t>
      </w:r>
      <w:r>
        <w:t xml:space="preserve">: xác định ngưỡng tối ưu của internationalization (~47,8% FSTS theo bằng chứng China JFAR 2026); gợi ý đầu tư vào digital capability như một cơ chế vượt qua institutional friction.</w:t>
      </w:r>
    </w:p>
    <w:p>
      <w:pPr>
        <w:numPr>
          <w:ilvl w:val="0"/>
          <w:numId w:val="1006"/>
        </w:numPr>
        <w:pStyle w:val="Compact"/>
      </w:pPr>
      <w:r>
        <w:rPr>
          <w:bCs/>
          <w:b/>
        </w:rPr>
        <w:t xml:space="preserve">Đối với nhà hoạch định chính sách</w:t>
      </w:r>
      <w:r>
        <w:t xml:space="preserve">: ưu tiên cải cách thể chế song song với hỗ trợ chuyển đổi số doanh nghiệp để thu được lợi ích tổng hợp từ quốc tế hóa.</w:t>
      </w:r>
    </w:p>
    <w:p>
      <w:pPr>
        <w:numPr>
          <w:ilvl w:val="0"/>
          <w:numId w:val="1006"/>
        </w:numPr>
        <w:pStyle w:val="Compact"/>
      </w:pPr>
      <w:r>
        <w:rPr>
          <w:bCs/>
          <w:b/>
        </w:rPr>
        <w:t xml:space="preserve">Đối với nhà quản trị</w:t>
      </w:r>
      <w:r>
        <w:t xml:space="preserve">: làm rõ vai trò của managerial experience và gender diversity trong leadership quốc tế, nhất là tại emerging Asia.</w:t>
      </w:r>
    </w:p>
    <w:bookmarkEnd w:id="30"/>
    <w:bookmarkEnd w:id="31"/>
    <w:bookmarkStart w:id="32" w:name="Xe9917fab1a9e6aca16a1047ec6e3b5eae94cff8"/>
    <w:p>
      <w:pPr>
        <w:pStyle w:val="Heading2"/>
      </w:pPr>
      <w:r>
        <w:t xml:space="preserve">4. Đối tượng và phạm vi nghiên cứu</w:t>
      </w:r>
    </w:p>
    <w:p>
      <w:pPr>
        <w:numPr>
          <w:ilvl w:val="0"/>
          <w:numId w:val="1007"/>
        </w:numPr>
        <w:pStyle w:val="Compact"/>
      </w:pPr>
      <w:r>
        <w:rPr>
          <w:bCs/>
          <w:b/>
        </w:rPr>
        <w:t xml:space="preserve">Đối tượng nghiên cứu</w:t>
      </w:r>
      <w:r>
        <w:t xml:space="preserve">: mối quan hệ giữa quốc tế hóa và hiệu quả hoạt động của doanh nghiệp ở Châu Á, cùng các yếu tố điều tiết thuộc ba tầng (thể chế, năng lực, quản trị) cộng với lớp digital.</w:t>
      </w:r>
    </w:p>
    <w:p>
      <w:pPr>
        <w:numPr>
          <w:ilvl w:val="0"/>
          <w:numId w:val="1007"/>
        </w:numPr>
        <w:pStyle w:val="Compact"/>
      </w:pPr>
      <w:r>
        <w:rPr>
          <w:bCs/>
          <w:b/>
        </w:rPr>
        <w:t xml:space="preserve">Đơn vị phân tích</w:t>
      </w:r>
      <w:r>
        <w:t xml:space="preserve">: doanh nghiệp cấp vi mô (firm-level).</w:t>
      </w:r>
    </w:p>
    <w:p>
      <w:pPr>
        <w:numPr>
          <w:ilvl w:val="0"/>
          <w:numId w:val="1007"/>
        </w:numPr>
        <w:pStyle w:val="Compact"/>
      </w:pPr>
      <w:r>
        <w:rPr>
          <w:bCs/>
          <w:b/>
        </w:rPr>
        <w:t xml:space="preserve">Phạm vi không gian</w:t>
      </w:r>
      <w:r>
        <w:t xml:space="preserve">: 47–49 nền kinh tế châu Á và Thái Bình Dương có dữ liệu WBES, tổ chức theo</w:t>
      </w:r>
      <w:r>
        <w:t xml:space="preserve"> </w:t>
      </w:r>
      <w:r>
        <w:rPr>
          <w:bCs/>
          <w:b/>
        </w:rPr>
        <w:t xml:space="preserve">6 sub-regime ICRV</w:t>
      </w:r>
      <w:r>
        <w:t xml:space="preserve"> </w:t>
      </w:r>
      <w:r>
        <w:t xml:space="preserve">(I: Advanced innovation-driven, II: Advanced resource-driven, III: Upper-middle, IV: Emerging, V: Frontier, VI: Pacific SIDS). P8 mở rộng thêm bằng phân tích chuyên sâu các nền kinh tế Nhóm VI (SIDS) để kiểm định forced internationalization penalty (Đỗ &amp; Phan, 2026). Nhật Bản hiện chưa có dữ liệu WBES phù hợp nên không thuộc empirical scope.</w:t>
      </w:r>
    </w:p>
    <w:p>
      <w:pPr>
        <w:numPr>
          <w:ilvl w:val="0"/>
          <w:numId w:val="1007"/>
        </w:numPr>
        <w:pStyle w:val="Compact"/>
      </w:pPr>
      <w:r>
        <w:rPr>
          <w:bCs/>
          <w:b/>
        </w:rPr>
        <w:t xml:space="preserve">Phạm vi thời gian</w:t>
      </w:r>
      <w:r>
        <w:t xml:space="preserve">: literature pool 1982–2026 cho meta-analysis; WBES 2009–2025 (16 năm × 14 mốc khảo sát, 108 cặp quốc gia × năm) cho phase thực nghiệm.</w:t>
      </w:r>
    </w:p>
    <w:bookmarkEnd w:id="32"/>
    <w:bookmarkStart w:id="33" w:name="X5ae601b4c1e70a1aeb87413de3a9dbcaaa3fcba"/>
    <w:p>
      <w:pPr>
        <w:pStyle w:val="Heading2"/>
      </w:pPr>
      <w:r>
        <w:t xml:space="preserve">5. Nguồn dữ liệu và bản thảo nội bộ</w:t>
      </w:r>
    </w:p>
    <w:p>
      <w:pPr>
        <w:pStyle w:val="FirstParagraph"/>
      </w:pPr>
      <w:r>
        <w:t xml:space="preserve">Các bản thảo sau được sử dụng như</w:t>
      </w:r>
      <w:r>
        <w:t xml:space="preserve"> </w:t>
      </w:r>
      <w:r>
        <w:rPr>
          <w:bCs/>
          <w:b/>
        </w:rPr>
        <w:t xml:space="preserve">nguồn dữ liệu/bằng chứng nội bộ</w:t>
      </w:r>
      <w:r>
        <w:t xml:space="preserve"> </w:t>
      </w:r>
      <w:r>
        <w:t xml:space="preserve">của luận án, không phải đơn vị cấu thành chương riêng: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Vai trò trong luận án</w:t>
            </w:r>
          </w:p>
        </w:tc>
        <w:tc>
          <w:tcPr/>
          <w:p>
            <w:pPr>
              <w:pStyle w:val="Compact"/>
              <w:jc w:val="left"/>
            </w:pPr>
            <w:r>
              <w:t xml:space="preserve">Tình trạng</w:t>
            </w:r>
          </w:p>
        </w:tc>
      </w:tr>
      <w:tr>
        <w:tc>
          <w:tcPr/>
          <w:p>
            <w:pPr>
              <w:pStyle w:val="Compact"/>
              <w:jc w:val="left"/>
            </w:pPr>
            <w:r>
              <w:t xml:space="preserve">P1 (Đỗ &amp; Phan, 2026 — VEFR)</w:t>
            </w:r>
          </w:p>
        </w:tc>
        <w:tc>
          <w:tcPr/>
          <w:p>
            <w:pPr>
              <w:pStyle w:val="Compact"/>
              <w:jc w:val="left"/>
            </w:pPr>
            <w:r>
              <w:t xml:space="preserve">Thực trạng emerging Asia 17 nước; digital shield effect (Ch.2.4, Ch.4.1 benchmark)</w:t>
            </w:r>
          </w:p>
        </w:tc>
        <w:tc>
          <w:tcPr/>
          <w:p>
            <w:pPr>
              <w:pStyle w:val="Compact"/>
              <w:jc w:val="left"/>
            </w:pPr>
            <w:r>
              <w:t xml:space="preserve">Đã công bố</w:t>
            </w:r>
          </w:p>
        </w:tc>
      </w:tr>
      <w:tr>
        <w:tc>
          <w:tcPr/>
          <w:p>
            <w:pPr>
              <w:pStyle w:val="Compact"/>
              <w:jc w:val="left"/>
            </w:pPr>
            <w:r>
              <w:t xml:space="preserve">P2 (Đỗ &amp; Phan, 2026 — JFAR)</w:t>
            </w:r>
          </w:p>
        </w:tc>
        <w:tc>
          <w:tcPr/>
          <w:p>
            <w:pPr>
              <w:pStyle w:val="Compact"/>
              <w:jc w:val="left"/>
            </w:pPr>
            <w:r>
              <w:t xml:space="preserve">Bằng chứng phi tuyến cubic China với turning point ~47,8% FSTS (Ch.4.2, Ch.4.5 robustness)</w:t>
            </w:r>
          </w:p>
        </w:tc>
        <w:tc>
          <w:tcPr/>
          <w:p>
            <w:pPr>
              <w:pStyle w:val="Compact"/>
              <w:jc w:val="left"/>
            </w:pPr>
            <w:r>
              <w:t xml:space="preserve">Đã công bố</w:t>
            </w:r>
          </w:p>
        </w:tc>
      </w:tr>
      <w:tr>
        <w:tc>
          <w:tcPr/>
          <w:p>
            <w:pPr>
              <w:pStyle w:val="Compact"/>
              <w:jc w:val="left"/>
            </w:pPr>
            <w:r>
              <w:t xml:space="preserve">P3 Vietnam</w:t>
            </w:r>
          </w:p>
        </w:tc>
        <w:tc>
          <w:tcPr/>
          <w:p>
            <w:pPr>
              <w:pStyle w:val="Compact"/>
              <w:jc w:val="left"/>
            </w:pPr>
            <w:r>
              <w:t xml:space="preserve">Bằng chứng country-level transitional economy với TCI + DAI — JABS under review (Ch.4.2)</w:t>
            </w:r>
          </w:p>
        </w:tc>
        <w:tc>
          <w:tcPr/>
          <w:p>
            <w:pPr>
              <w:pStyle w:val="Compact"/>
              <w:jc w:val="left"/>
            </w:pPr>
            <w:r>
              <w:t xml:space="preserve">Bản thảo đã viết</w:t>
            </w:r>
          </w:p>
        </w:tc>
      </w:tr>
      <w:tr>
        <w:tc>
          <w:tcPr/>
          <w:p>
            <w:pPr>
              <w:pStyle w:val="Compact"/>
              <w:jc w:val="left"/>
            </w:pPr>
            <w:r>
              <w:t xml:space="preserve">P4 Singapore</w:t>
            </w:r>
          </w:p>
        </w:tc>
        <w:tc>
          <w:tcPr/>
          <w:p>
            <w:pPr>
              <w:pStyle w:val="Compact"/>
              <w:jc w:val="left"/>
            </w:pPr>
            <w:r>
              <w:t xml:space="preserve">Bằng chứng country-level ASEAN benchmark với TCI + DAI — MIR under review (Ch.4.2)</w:t>
            </w:r>
          </w:p>
        </w:tc>
        <w:tc>
          <w:tcPr/>
          <w:p>
            <w:pPr>
              <w:pStyle w:val="Compact"/>
              <w:jc w:val="left"/>
            </w:pPr>
            <w:r>
              <w:t xml:space="preserve">Bản thảo đã viết</w:t>
            </w:r>
          </w:p>
        </w:tc>
      </w:tr>
      <w:tr>
        <w:tc>
          <w:tcPr/>
          <w:p>
            <w:pPr>
              <w:pStyle w:val="Compact"/>
              <w:jc w:val="left"/>
            </w:pPr>
            <w:r>
              <w:t xml:space="preserve">P5 China 2012–2024</w:t>
            </w:r>
          </w:p>
        </w:tc>
        <w:tc>
          <w:tcPr/>
          <w:p>
            <w:pPr>
              <w:pStyle w:val="Compact"/>
              <w:jc w:val="left"/>
            </w:pPr>
            <w:r>
              <w:t xml:space="preserve">Bằng chứng temporal heterogeneity (Ch.4.5) — IJOEM under review</w:t>
            </w:r>
          </w:p>
        </w:tc>
        <w:tc>
          <w:tcPr/>
          <w:p>
            <w:pPr>
              <w:pStyle w:val="Compact"/>
              <w:jc w:val="left"/>
            </w:pPr>
            <w:r>
              <w:t xml:space="preserve">Bản thảo đã viết</w:t>
            </w:r>
          </w:p>
        </w:tc>
      </w:tr>
      <w:tr>
        <w:tc>
          <w:tcPr/>
          <w:p>
            <w:pPr>
              <w:pStyle w:val="Compact"/>
              <w:jc w:val="left"/>
            </w:pPr>
            <w:r>
              <w:t xml:space="preserve">P6 Meta-analysis update</w:t>
            </w:r>
          </w:p>
        </w:tc>
        <w:tc>
          <w:tcPr/>
          <w:p>
            <w:pPr>
              <w:pStyle w:val="Compact"/>
              <w:jc w:val="left"/>
            </w:pPr>
            <w:r>
              <w:t xml:space="preserve">Backbone tổng quan literature 1982–2026 (Ch.4.1)</w:t>
            </w:r>
          </w:p>
        </w:tc>
        <w:tc>
          <w:tcPr/>
          <w:p>
            <w:pPr>
              <w:pStyle w:val="Compact"/>
              <w:jc w:val="left"/>
            </w:pPr>
            <w:r>
              <w:t xml:space="preserve">Bản thảo đã viết (IBR under review)</w:t>
            </w:r>
          </w:p>
        </w:tc>
      </w:tr>
      <w:tr>
        <w:tc>
          <w:tcPr/>
          <w:p>
            <w:pPr>
              <w:pStyle w:val="Compact"/>
              <w:jc w:val="left"/>
            </w:pPr>
            <w:r>
              <w:t xml:space="preserve">P7 Multi-country capstone</w:t>
            </w:r>
          </w:p>
        </w:tc>
        <w:tc>
          <w:tcPr/>
          <w:p>
            <w:pPr>
              <w:pStyle w:val="Compact"/>
              <w:jc w:val="left"/>
            </w:pPr>
            <w:r>
              <w:t xml:space="preserve">Kết quả nghiên cứu chính multi-country (Ch.4.3)</w:t>
            </w:r>
          </w:p>
        </w:tc>
        <w:tc>
          <w:tcPr/>
          <w:p>
            <w:pPr>
              <w:pStyle w:val="Compact"/>
              <w:jc w:val="left"/>
            </w:pPr>
            <w:r>
              <w:t xml:space="preserve">Bản thảo đã viết (JIBS under revision)</w:t>
            </w:r>
          </w:p>
        </w:tc>
      </w:tr>
      <w:tr>
        <w:tc>
          <w:tcPr/>
          <w:p>
            <w:pPr>
              <w:pStyle w:val="Compact"/>
              <w:jc w:val="left"/>
            </w:pPr>
            <w:r>
              <w:t xml:space="preserve">P8 Pacific SIDS</w:t>
            </w:r>
          </w:p>
        </w:tc>
        <w:tc>
          <w:tcPr/>
          <w:p>
            <w:pPr>
              <w:pStyle w:val="Compact"/>
              <w:jc w:val="left"/>
            </w:pPr>
            <w:r>
              <w:t xml:space="preserve">Forced internationalization penalty boundary case adjacent (Ch.4.4)</w:t>
            </w:r>
          </w:p>
        </w:tc>
        <w:tc>
          <w:tcPr/>
          <w:p>
            <w:pPr>
              <w:pStyle w:val="Compact"/>
              <w:jc w:val="left"/>
            </w:pPr>
            <w:r>
              <w:t xml:space="preserve">Bản thảo đã viết (World Development under revision)</w:t>
            </w:r>
          </w:p>
        </w:tc>
      </w:tr>
    </w:tbl>
    <w:p>
      <w:pPr>
        <w:pStyle w:val="BodyText"/>
      </w:pPr>
      <w:r>
        <w:t xml:space="preserve">Các công trình liên quan khác của tác giả (bài India tại IntechOpen 2025; bài Turkey; bài Poland) được tham chiếu như bằng chứng cho quá trình tích lũy nghiên cứu, không tích hợp làm cấu phần lập luận chính của luận án.</w:t>
      </w:r>
    </w:p>
    <w:bookmarkEnd w:id="33"/>
    <w:bookmarkStart w:id="34" w:name="X1ca52daf4b535dd14b186546418e17904236987"/>
    <w:p>
      <w:pPr>
        <w:pStyle w:val="Heading2"/>
      </w:pPr>
      <w:r>
        <w:t xml:space="preserve">6. Cấu trúc tài liệu trong thư mục</w:t>
      </w:r>
      <w:r>
        <w:t xml:space="preserve"> </w:t>
      </w:r>
      <w:r>
        <w:rPr>
          <w:rStyle w:val="VerbatimChar"/>
        </w:rPr>
        <w:t xml:space="preserve">/thesis/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Mô tả</w:t>
            </w:r>
          </w:p>
        </w:tc>
      </w:tr>
      <w:tr>
        <w:tc>
          <w:tcPr/>
          <w:p>
            <w:pPr>
              <w:pStyle w:val="Compact"/>
              <w:jc w:val="left"/>
            </w:pPr>
            <w:r>
              <w:rPr>
                <w:rStyle w:val="VerbatimChar"/>
              </w:rPr>
              <w:t xml:space="preserve">00_optimal_plan_vi.md</w:t>
            </w:r>
          </w:p>
        </w:tc>
        <w:tc>
          <w:tcPr/>
          <w:p>
            <w:pPr>
              <w:pStyle w:val="Compact"/>
              <w:jc w:val="left"/>
            </w:pPr>
            <w:r>
              <w:t xml:space="preserve">Kế hoạch tổng thể (file này)</w:t>
            </w:r>
          </w:p>
        </w:tc>
      </w:tr>
      <w:tr>
        <w:tc>
          <w:tcPr/>
          <w:p>
            <w:pPr>
              <w:pStyle w:val="Compact"/>
              <w:jc w:val="left"/>
            </w:pPr>
            <w:r>
              <w:rPr>
                <w:rStyle w:val="VerbatimChar"/>
              </w:rPr>
              <w:t xml:space="preserve">01_chapter_outline_vi.md</w:t>
            </w:r>
          </w:p>
        </w:tc>
        <w:tc>
          <w:tcPr/>
          <w:p>
            <w:pPr>
              <w:pStyle w:val="Compact"/>
              <w:jc w:val="left"/>
            </w:pPr>
            <w:r>
              <w:t xml:space="preserve">Dàn ý 5 chương luận án truyền thống</w:t>
            </w:r>
          </w:p>
        </w:tc>
      </w:tr>
      <w:tr>
        <w:tc>
          <w:tcPr/>
          <w:p>
            <w:pPr>
              <w:pStyle w:val="Compact"/>
              <w:jc w:val="left"/>
            </w:pPr>
            <w:r>
              <w:rPr>
                <w:rStyle w:val="VerbatimChar"/>
              </w:rPr>
              <w:t xml:space="preserve">02_theoretical_framework_vi.md</w:t>
            </w:r>
          </w:p>
        </w:tc>
        <w:tc>
          <w:tcPr/>
          <w:p>
            <w:pPr>
              <w:pStyle w:val="Compact"/>
              <w:jc w:val="left"/>
            </w:pPr>
            <w:r>
              <w:t xml:space="preserve">Khung 4 tầng + digital lens + hệ giả thuyết H1–H6</w:t>
            </w:r>
          </w:p>
        </w:tc>
      </w:tr>
      <w:tr>
        <w:tc>
          <w:tcPr/>
          <w:p>
            <w:pPr>
              <w:pStyle w:val="Compact"/>
              <w:jc w:val="left"/>
            </w:pPr>
            <w:r>
              <w:rPr>
                <w:rStyle w:val="VerbatimChar"/>
              </w:rPr>
              <w:t xml:space="preserve">03_methodology_vi.md</w:t>
            </w:r>
          </w:p>
        </w:tc>
        <w:tc>
          <w:tcPr/>
          <w:p>
            <w:pPr>
              <w:pStyle w:val="Compact"/>
              <w:jc w:val="left"/>
            </w:pPr>
            <w:r>
              <w:t xml:space="preserve">Mixed synthesis-empirical design</w:t>
            </w:r>
          </w:p>
        </w:tc>
      </w:tr>
      <w:tr>
        <w:tc>
          <w:tcPr/>
          <w:p>
            <w:pPr>
              <w:pStyle w:val="Compact"/>
              <w:jc w:val="left"/>
            </w:pPr>
            <w:r>
              <w:rPr>
                <w:rStyle w:val="VerbatimChar"/>
              </w:rPr>
              <w:t xml:space="preserve">04_references_apa7.md</w:t>
            </w:r>
          </w:p>
        </w:tc>
        <w:tc>
          <w:tcPr/>
          <w:p>
            <w:pPr>
              <w:pStyle w:val="Compact"/>
              <w:jc w:val="left"/>
            </w:pPr>
            <w:r>
              <w:t xml:space="preserve">Tài liệu tham khảo APA 7th đầy đủ</w:t>
            </w:r>
          </w:p>
        </w:tc>
      </w:tr>
    </w:tbl>
    <w:bookmarkEnd w:id="34"/>
    <w:bookmarkEnd w:id="3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2026-05-24T12:05:04Z</dcterms:created>
  <dcterms:modified xsi:type="dcterms:W3CDTF">2026-05-24T12:05:04Z</dcterms:modified>
</cp:coreProperties>
</file>

<file path=docProps/custom.xml><?xml version="1.0" encoding="utf-8"?>
<Properties xmlns="http://schemas.openxmlformats.org/officeDocument/2006/custom-properties" xmlns:vt="http://schemas.openxmlformats.org/officeDocument/2006/docPropsVTypes"/>
</file>