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Xeb842970bc83042d8d18acf50fede2fc1910f98"/>
    <w:p>
      <w:pPr>
        <w:pStyle w:val="Heading2"/>
      </w:pPr>
      <w:r>
        <w:t xml:space="preserve">2.1 Các khái niệm cốt lõi</w:t>
      </w:r>
    </w:p>
    <w:bookmarkStart w:id="20" w:name="X95197dc4b90af853c087270af074cb545b6a612"/>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 "toàn cầu hóa" —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Do &amp; Phan, 2026a).</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X23320108b4df79c6460d3f872858ea0cbd6d69f"/>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(Do &amp; Phan, 2026a).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9c6b6eef2b3fa90aa8196d44cbc49a384fa7d7f"/>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 "năng lực số" (digital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 "foundational website adoption" 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X6bd70045f4aae0cc6208f3a45673fcdcfb9dd8a"/>
    <w:p>
      <w:pPr>
        <w:pStyle w:val="Heading3"/>
      </w:pPr>
      <w:r>
        <w:t xml:space="preserve">2.1.4 Bối cảnh thể chế và khung ICRV</w:t>
      </w:r>
    </w:p>
    <w:p>
      <w:pPr>
        <w:pStyle w:val="FirstParagraph"/>
      </w:pPr>
      <w:r>
        <w:t xml:space="preserve">Thể chế (institutions) theo North (1990) là "luật chơi" 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47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(Pacific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Xd1f28dbba0aaaf84fdd94ae0c3fe8487075de6a"/>
    <w:p>
      <w:pPr>
        <w:pStyle w:val="Heading2"/>
      </w:pPr>
      <w:r>
        <w:t xml:space="preserve">2.2 Các lý thuyết nền</w:t>
      </w:r>
    </w:p>
    <w:bookmarkStart w:id="25" w:name="X123f2d0cccf9e047426163a78ac712a37336f74"/>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 "gánh nặng của người nước ngoài" (liability of foreignness) — chi phí và bất lợi mà doanh nghiệp phải gánh chịu khi hoạt động ở môi trường văn hóa, thể chế, và pháp lý xa lạ (Zaheer, 1995). Johanson và Vahlne (2009) cập nhật mô hình bằng cách bổ sung khái niệm "gánh nặng của người ngoài mạng lưới" (liability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 "học hỏi tăng cường bằng dữ liệu số" (data-augmented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Xd46e050d683b59cb485bc3079e0c0f791ad8652"/>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DAI — chỉ số áp dụng số nền tảng (Tier-1 proxy) đo lường sự hiện diện website —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X8df923fa541d02623fafefda8e8dfdd0f8f8811"/>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 "khoảng trống thể chế" (institutional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X146ba0dc244c296ae552c63cd5ae9ae43aef1fe"/>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 "tổ chức là sự phản chiếu của nhà quản trị đỉnh cao" (Hambrick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X755678d15ddc1a8c13dbc8244350f9a59bba034"/>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Xb68718caf7a2cd6e9eb5a792769262881ac883e"/>
    <w:p>
      <w:pPr>
        <w:pStyle w:val="Heading2"/>
      </w:pPr>
      <w:r>
        <w:t xml:space="preserve">2.3 Tổng quan thực nghiệm</w:t>
      </w:r>
    </w:p>
    <w:bookmarkStart w:id="31" w:name="Xdced885a630e2fc91d9034fc02dca256c5d6811"/>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 "đường cong chữ S ba giai đoạn" (three-stage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31"/>
    <w:bookmarkStart w:id="32" w:name="X1a2e519e3eb745ccb5a9310ee8e928b32e9ba76"/>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effect-size units cho thấy r = 0,07 — nhất quán với các meta-analyses toàn cầu nhưng cụ thể hơn về bối cảnh châu Á. Luận án này mở rộng pool đó thông qua Nghiên cứu P6 — một meta-analysis ba tầng (three-level MARA) với k = 259 nghiên cứu và K = 309 effect sizes từ 49 nền kinh tế, ước lượng r̄ = 0,074 [KTC 95%: 0,060; 0,088], I² = 61,2% (L2 = L3 = 30,6%), Q_M(ICRV) = 10,16 (df = 4, p = ,038). Kết quả xác nhận tác động tổng hợp dương nhỏ nhưng bền vững; đồng thời phát hiện thiên lệch công bố đáng kể (Egger b₀ = 0,077, p &lt; ,001; trim-and-fill r_adj = 0,035) — gợi ý pooled effect thực có thể thấp hơn 50% so với ước lượng thô (Do &amp; Phan, 2026c).</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32"/>
    <w:bookmarkStart w:id="33" w:name="Xee1bebe325ab2d4682f3ee8a885eb236c48b900"/>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Pacific SIDS với quy mô siêu nhỏ và hạ tầng thể chế còn sơ khai (Khanna &amp; Palepu, 2010; Peng, 2003). Thứ hai, tốc độ chuyển đổi số và hội nhập quốc tế rất không đồng đều giữa các quốc gia trong khu vực, tạo ra "thí nghiệm tự nhiên" về ảnh hưởng của bối cảnh thể chế và năng lực số đến kết quả quốc tế hóa.</w:t>
      </w:r>
    </w:p>
    <w:p>
      <w:pPr>
        <w:pStyle w:val="BodyText"/>
      </w:pPr>
      <w:r>
        <w:t xml:space="preserve">Do và Phan (2026a)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 "hiệu ứng lá chắn số" (digital shield effect). Do và Phan (2026g)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Pacific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dcf8d5acfbfe96d373642e6e2aa58fc72c4137f"/>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Xf45ba9d58640f4ad8d0eb51a37a564f5aeb40a8"/>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Do và Phan (2026a) là baseline lớn nhất hiện có trong literature về châu Á, nhưng vẫn chưa bao gồm các nền kinh tế frontier và Pacific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Do và Phan (2026d) — Nghiên cứu P7 —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 thấp hơn P3 Vietnam (~40%) và P5 Trung Quốc (~49%) —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Pacific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 "Forced Internationalization Penalty" (FIP) — bối cảnh mà quốc tế hóa là gánh nặng sinh tồn, không phải lựa chọn chiến lược dựa trên lợi thế cạnh tranh. Do và Phan (2026b) — Nghiên cứu P8 — kiểm định H1b bằng dữ liệu WBES từ các nền kinh tế Pacific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5" w:name="X2e72411c23c34d41d1942bd5d4fbf8ae22da5d2"/>
    <w:p>
      <w:pPr>
        <w:pStyle w:val="Heading2"/>
      </w:pPr>
      <w:r>
        <w:t xml:space="preserve">2.5 Mô hình nghiên cứu và hệ giả thuyết</w:t>
      </w:r>
    </w:p>
    <w:bookmarkStart w:id="37" w:name="X45cacfa706139c50548e97564081354b0b3764b"/>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Pacific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(Do &amp; Phan, 2026b).</w:t>
      </w:r>
    </w:p>
    <w:p>
      <w:pPr>
        <w:pStyle w:val="BodyText"/>
      </w:pPr>
      <w:r>
        <w:t xml:space="preserve">Tầng tổ chức — năng lực doanh nghiệp — bao gồm TCI và DAI như hai moderator độc lập với cơ chế tác động khác nhau. TCI đóng vai trò như một "nâng đỡ mặt bằng" (level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 "bộ đệm phối hợp số" (digital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bookmarkEnd w:id="37"/>
    <w:bookmarkStart w:id="38" w:name="Xa138305ccd4d6ccfbd8098a87bf493c47bc52a0"/>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38"/>
    <w:bookmarkStart w:id="39" w:name="Xe4ffb858a7447a24d1a3ea96cd77f59659cfb85"/>
    <w:p>
      <w:pPr>
        <w:pStyle w:val="Heading3"/>
      </w:pPr>
      <w:r>
        <w:t xml:space="preserve">2.5.2b Điều kiện biên H1b: Gánh nặng quốc tế hóa bắt buộc (FIP) tại Pacific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Pacific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Pacific SIDS (ICRV Nhóm VI), mối quan hệ giữa mức độ quốc tế hóa (FSTS) và hiệu quả hoạt động doanh nghiệp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39"/>
    <w:bookmarkStart w:id="40" w:name="Xbab760a32cde05e137045bc8f7a3707f43bde01"/>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0"/>
    <w:bookmarkStart w:id="41" w:name="Xe02c8b4badca737e34d9828c14f576073ebfca3"/>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1"/>
    <w:bookmarkStart w:id="42" w:name="Xf3c96f7a7f1c969bc60bd7349590849b049c32c"/>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w:t>
      </w:r>
    </w:p>
    <w:bookmarkEnd w:id="42"/>
    <w:bookmarkStart w:id="43" w:name="X6cb624958e89d2dec9f57563abada44477d846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 "lá chắn số" (digital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3"/>
    <w:bookmarkStart w:id="44" w:name="X61cc752874ba7b59207724628dc012c7fefbefb"/>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Do và Phan (2026g)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4"/>
    <w:bookmarkEnd w:id="45"/>
    <w:bookmarkStart w:id="46" w:name="X80aaa8b1e91108605e0ad5aa38ac8f05a046a38"/>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2026-05-24T12:05:05Z</dcterms:created>
  <dcterms:modified xsi:type="dcterms:W3CDTF">2026-05-24T12:05:05Z</dcterms:modified>
</cp:coreProperties>
</file>

<file path=docProps/custom.xml><?xml version="1.0" encoding="utf-8"?>
<Properties xmlns="http://schemas.openxmlformats.org/officeDocument/2006/custom-properties" xmlns:vt="http://schemas.openxmlformats.org/officeDocument/2006/docPropsVTypes"/>
</file>