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259</m:t>
        </m:r>
      </m:oMath>
      <w:r>
        <w:t xml:space="preserve"> </w:t>
      </w:r>
      <w:r>
        <w:t xml:space="preserve">nghiên cứu,</w:t>
      </w:r>
      <w:r>
        <w:t xml:space="preserve"> </w:t>
      </w:r>
      <m:oMath>
        <m:r>
          <m:t>K</m:t>
        </m:r>
        <m:r>
          <m:rPr>
            <m:sty m:val="p"/>
          </m:rPr>
          <m:t>=</m:t>
        </m:r>
        <m:r>
          <m:t>309</m:t>
        </m:r>
      </m:oMath>
      <w:r>
        <w:t xml:space="preserve"> </w:t>
      </w:r>
      <w:r>
        <w:t xml:space="preserve">effect sizes từ 49 nền kinh tế,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61</m:t>
        </m:r>
        <m:r>
          <m:rPr>
            <m:sty m:val="p"/>
          </m:rPr>
          <m:t>,</m:t>
        </m:r>
        <m:r>
          <m:t>2</m:t>
        </m:r>
        <m:r>
          <m:rPr>
            <m:sty m:val="p"/>
          </m:rPr>
          <m:t>%</m:t>
        </m:r>
      </m:oMath>
      <w:r>
        <w:t xml:space="preserve">, cho thấy mức dị biệt đáng kể trong tập hợp 259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30</m:t>
        </m:r>
        <m:r>
          <m:rPr>
            <m:sty m:val="p"/>
          </m:rPr>
          <m:t>,</m:t>
        </m:r>
        <m:r>
          <m:t>6</m:t>
        </m:r>
        <m:r>
          <m:rPr>
            <m:sty m:val="p"/>
          </m:rPr>
          <m:t>%</m:t>
        </m:r>
      </m:oMath>
      <w:r>
        <w:t xml:space="preserve"> </w:t>
      </w:r>
      <w:r>
        <w:t xml:space="preserve">tổng phương sai.</w:t>
      </w:r>
    </w:p>
    <w:p>
      <w:pPr>
        <w:numPr>
          <w:ilvl w:val="0"/>
          <w:numId w:val="1001"/>
        </w:numPr>
        <w:pStyle w:val="Compact"/>
      </w:pPr>
      <w:r>
        <w:rPr>
          <w:bCs/>
          <w:b/>
        </w:rPr>
        <w:t xml:space="preserve">Tầng 3</w:t>
      </w:r>
      <w:r>
        <w:t xml:space="preserve"> </w:t>
      </w:r>
      <w:r>
        <w:t xml:space="preserve">(between-study, tức dị biệt giữa các nghiên cứu): cũng chiếm</w:t>
      </w:r>
      <w:r>
        <w:t xml:space="preserve"> </w:t>
      </w:r>
      <m:oMath>
        <m:r>
          <m:t>30</m:t>
        </m:r>
        <m:r>
          <m:rPr>
            <m:sty m:val="p"/>
          </m:rPr>
          <m:t>,</m:t>
        </m:r>
        <m:r>
          <m:t>6</m:t>
        </m:r>
        <m:r>
          <m:rPr>
            <m:sty m:val="p"/>
          </m:rPr>
          <m:t>%</m:t>
        </m:r>
      </m:oMath>
      <w:r>
        <w:t xml:space="preserve"> </w:t>
      </w:r>
      <w:r>
        <w:t xml:space="preserve">— phân bổ đều nhau.</w:t>
      </w:r>
    </w:p>
    <w:p>
      <w:pPr>
        <w:pStyle w:val="FirstParagraph"/>
      </w:pPr>
      <w:r>
        <w:t xml:space="preserve">Phát hiện này có hàm ý lý thuyết sâu sắc: heterogeneity trong I→P literature phân bổ</w:t>
      </w:r>
      <w:r>
        <w:t xml:space="preserve"> </w:t>
      </w:r>
      <w:r>
        <w:rPr>
          <w:bCs/>
          <w:b/>
        </w:rPr>
        <w:t xml:space="preserve">đều giữa trong và giữa các nghiên cứu</w:t>
      </w:r>
      <w:r>
        <w:t xml:space="preserve">, cho thấy cả lựa chọn đo lường (bên trong nghiên cứu) lẫn bối cảnh quốc gia thực chất (giữa các nghiên cứu) đều đóng góp bằng nhau. Điều này gợi ý rằng publication bias — không chỉ sự khác biệt thể chế hay số hoá — là nguồn gốc chủ yếu của heterogeneity quan sát được.</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10</m:t>
        </m:r>
        <m:r>
          <m:rPr>
            <m:sty m:val="p"/>
          </m:rPr>
          <m:t>,</m:t>
        </m:r>
        <m:r>
          <m:t>16</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038</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thống kê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038</m:t>
        </m:r>
      </m:oMath>
      <w:r>
        <w:t xml:space="preserve">), tuy nhiên gradient đơn điệu E1a/E1b chưa xác nhận được do</w:t>
      </w:r>
      <w:r>
        <w:t xml:space="preserve"> </w:t>
      </w:r>
      <m:oMath>
        <m:r>
          <m:t>k</m:t>
        </m:r>
      </m:oMath>
      <w:r>
        <w:t xml:space="preserve"> </w:t>
      </w:r>
      <w:r>
        <w:t xml:space="preserve">thấp tại Frontier (</w:t>
      </w:r>
      <m:oMath>
        <m:r>
          <m:t>k</m:t>
        </m:r>
        <m:r>
          <m:rPr>
            <m:sty m:val="p"/>
          </m:rPr>
          <m:t>=</m:t>
        </m:r>
        <m:r>
          <m:t>4</m:t>
        </m:r>
      </m:oMath>
      <w:r>
        <w:t xml:space="preserve">) và SIDS (</w:t>
      </w:r>
      <m:oMath>
        <m:r>
          <m:t>k</m:t>
        </m:r>
        <m:r>
          <m:rPr>
            <m:sty m:val="p"/>
          </m:rPr>
          <m:t>=</m:t>
        </m:r>
        <m:r>
          <m:t>3</m:t>
        </m:r>
      </m:oMath>
      <w:r>
        <w:t xml:space="preserve">).</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doanh nghiệp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 trong kiểm định khuếch đại H3:</w:t>
      </w:r>
      <w:r>
        <w:t xml:space="preserve"> </w:t>
      </w:r>
      <m:oMath>
        <m:r>
          <m:t>n</m:t>
        </m:r>
        <m:r>
          <m:rPr>
            <m:sty m:val="p"/>
          </m:rPr>
          <m:t>≈</m:t>
        </m:r>
        <m:r>
          <m:t>84</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nhất quán với kết quả meta-analysis trong P6 (</w:t>
      </w:r>
      <m:oMath>
        <m:sSub>
          <m:e>
            <m:r>
              <m:t>Q</m:t>
            </m:r>
          </m:e>
          <m:sub>
            <m:r>
              <m:t>M</m:t>
            </m:r>
          </m:sub>
        </m:sSub>
        <m:r>
          <m:rPr>
            <m:sty m:val="p"/>
          </m:rPr>
          <m:t>=</m:t>
        </m:r>
        <m:r>
          <m:t>10</m:t>
        </m:r>
        <m:r>
          <m:rPr>
            <m:sty m:val="p"/>
          </m:rPr>
          <m:t>,</m:t>
        </m:r>
        <m:r>
          <m:t>16</m:t>
        </m:r>
      </m:oMath>
      <w:r>
        <w:t xml:space="preserve">,</w:t>
      </w:r>
      <w:r>
        <w:t xml:space="preserve"> </w:t>
      </w:r>
      <m:oMath>
        <m:r>
          <m:t>p</m:t>
        </m:r>
        <m:r>
          <m:rPr>
            <m:sty m:val="p"/>
          </m:rPr>
          <m:t>=</m:t>
        </m:r>
        <m:r>
          <m:rPr>
            <m:sty m:val="p"/>
          </m:rPr>
          <m:t>,</m:t>
        </m:r>
        <m:r>
          <m:t>038</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10</m:t>
              </m:r>
              <m:r>
                <m:rPr>
                  <m:sty m:val="p"/>
                </m:rPr>
                <m:t>,</m:t>
              </m:r>
              <m:sSup>
                <m:e>
                  <m:r>
                    <m:t>16</m:t>
                  </m:r>
                </m:e>
                <m:sup>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,038) từ P6 MARA xác nhận dị biệt giữa chế độ; gradient định hướng (E1a/E1b) chưa xác nhận do</w:t>
            </w:r>
            <w:r>
              <w:t xml:space="preserve"> </w:t>
            </w:r>
            <w:r>
              <w:rPr>
                <w:iCs/>
                <w:i/>
              </w:rPr>
              <w:t xml:space="preserve">k</w:t>
            </w:r>
            <w:r>
              <w:t xml:space="preserve"> </w:t>
            </w:r>
            <w:r>
              <w:t xml:space="preserve">= 4 tại Frontier và</w:t>
            </w:r>
            <w:r>
              <w:t xml:space="preserve"> </w:t>
            </w:r>
            <w:r>
              <w:rPr>
                <w:iCs/>
                <w:i/>
              </w:rPr>
              <w:t xml:space="preserve">k</w:t>
            </w:r>
            <w:r>
              <w:t xml:space="preserve"> </w:t>
            </w:r>
            <w:r>
              <w:t xml:space="preserve">= 3 tại SIDS;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2026-05-24T12:05:05Z</dcterms:created>
  <dcterms:modified xsi:type="dcterms:W3CDTF">2026-05-24T12:05:05Z</dcterms:modified>
</cp:coreProperties>
</file>

<file path=docProps/custom.xml><?xml version="1.0" encoding="utf-8"?>
<Properties xmlns="http://schemas.openxmlformats.org/officeDocument/2006/custom-properties" xmlns:vt="http://schemas.openxmlformats.org/officeDocument/2006/docPropsVTypes"/>
</file>