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3895c96c7d432e76596cd34868f5fb5db9dd671"/>
    <w:p>
      <w:pPr>
        <w:pStyle w:val="Heading1"/>
      </w:pPr>
      <w:r>
        <w:t xml:space="preserve">Internationalisation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t xml:space="preserve">*</w:t>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internationalisation–performance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internationalisation translates into firm performance.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some studies report positive relationships (Pangarkar, 2008; Korea), others inverted-U curves (Chiao et al., 2006; Taiwan), and still others find null or negative effects (Mondal et al., 2022; India). The standard explanation invokes context as a moderator,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internationalisation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internationalisation carries fixed entry costs that depress performance; intermediate internationalisation yields learning and scale economies; high internationalisation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internationalisation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reduces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for all firms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internationalisation costs, so the turning point occurs earlier. Equivalently, holding FSTS constant, firms in stronger institutional regimes earn higher returns per unit of internationalisation.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p>
      <w:r>
        <w:pict>
          <v:rect style="width:0;height:1.5pt" o:hralign="center" o:hrstd="t" o:hr="t"/>
        </w:pict>
      </w:r>
    </w:p>
    <w:bookmarkEnd w:id="27"/>
    <w:bookmarkEnd w:id="28"/>
    <w:bookmarkStart w:id="33" w:name="X5eb800a903106e48a684e9ea9de39ed619b9df8"/>
    <w:p>
      <w:pPr>
        <w:pStyle w:val="Heading2"/>
      </w:pPr>
      <w:r>
        <w:t xml:space="preserve">3. Data and Methods</w:t>
      </w:r>
    </w:p>
    <w:bookmarkStart w:id="29"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29"/>
    <w:bookmarkStart w:id="30"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0"/>
    <w:bookmarkStart w:id="31"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1"/>
    <w:bookmarkStart w:id="32"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2"/>
    <w:bookmarkEnd w:id="33"/>
    <w:bookmarkStart w:id="41" w:name="X121719332867ee227f0a04b486098cee978c6e6"/>
    <w:p>
      <w:pPr>
        <w:pStyle w:val="Heading2"/>
      </w:pPr>
      <w:r>
        <w:t xml:space="preserve">4. Results</w:t>
      </w:r>
    </w:p>
    <w:bookmarkStart w:id="34"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4"/>
    <w:bookmarkStart w:id="35"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internationalisation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5"/>
    <w:bookmarkStart w:id="36"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6"/>
    <w:bookmarkStart w:id="37"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7"/>
    <w:bookmarkStart w:id="38"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8"/>
    <w:bookmarkStart w:id="39"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internationalisation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39"/>
    <w:bookmarkStart w:id="40" w:name="Xe3d609495bfc842c038fb0d5f07a3f6c06c0462"/>
    <w:p>
      <w:pPr>
        <w:pStyle w:val="Heading3"/>
      </w:pPr>
      <w:r>
        <w:t xml:space="preserve">4.7 Full Three-Way Moderation (H7-P7)</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H7-P7 (three-way interaction) is not confirmed;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0"/>
    <w:bookmarkEnd w:id="41"/>
    <w:bookmarkStart w:id="47" w:name="X735612638e4e736e4693e459c258977262c0dfc"/>
    <w:p>
      <w:pPr>
        <w:pStyle w:val="Heading2"/>
      </w:pPr>
      <w:r>
        <w:t xml:space="preserve">5. Discussion</w:t>
      </w:r>
    </w:p>
    <w:bookmarkStart w:id="42"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2"/>
    <w:bookmarkStart w:id="43"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3"/>
    <w:bookmarkStart w:id="44"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4"/>
    <w:bookmarkStart w:id="45"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internationalisation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5"/>
    <w:bookmarkStart w:id="46"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6"/>
    <w:bookmarkEnd w:id="47"/>
    <w:bookmarkStart w:id="48"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internationalisation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8"/>
    <w:bookmarkStart w:id="73"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49">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0">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1">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2">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3">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4">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5">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6">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[BLINDED INSTITUTION]</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7">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8">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59">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0">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1">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2">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3">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4">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5">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6">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7">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8">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69">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0">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1">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3"/>
    <w:bookmarkStart w:id="74"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4"/>
    <w:bookmarkStart w:id="75"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002/gsj.1028" TargetMode="External" /><Relationship Type="http://schemas.openxmlformats.org/officeDocument/2006/relationships/hyperlink" Id="rId58"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02/gsj.1028" TargetMode="External" /><Relationship Type="http://schemas.openxmlformats.org/officeDocument/2006/relationships/hyperlink" Id="rId58"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2026-05-17T01:30:20Z</dcterms:created>
  <dcterms:modified xsi:type="dcterms:W3CDTF">2026-05-17T01:30:20Z</dcterms:modified>
</cp:coreProperties>
</file>

<file path=docProps/custom.xml><?xml version="1.0" encoding="utf-8"?>
<Properties xmlns="http://schemas.openxmlformats.org/officeDocument/2006/custom-properties" xmlns:vt="http://schemas.openxmlformats.org/officeDocument/2006/docPropsVTypes"/>
</file>