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traces how technological capability and foundational digital adoption relate to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 how</w:t>
      </w:r>
      <w:r>
        <w:t xml:space="preserve"> </w:t>
      </w:r>
      <w:r>
        <w:t xml:space="preserve">pooled digital effects can mask substantial temporal heterogeneity. On this evidence,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2026-05-26T08:38:31Z</dcterms:created>
  <dcterms:modified xsi:type="dcterms:W3CDTF">2026-05-26T08:38:31Z</dcterms:modified>
</cp:coreProperties>
</file>

<file path=docProps/custom.xml><?xml version="1.0" encoding="utf-8"?>
<Properties xmlns="http://schemas.openxmlformats.org/officeDocument/2006/custom-properties" xmlns:vt="http://schemas.openxmlformats.org/officeDocument/2006/docPropsVTypes"/>
</file>