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are associated with the internationalization–performance relationship among firms in Singapore. Throughout, we follow recent IB recommendations on disciplined causal language (Antonakis, Bendahan, Jacquart, &amp; Lalive, 2010; Shaver, 2020) and best practice in interpreting hypothesis tests under research-design constraints (Meyer, van Witteloostuijn, &amp; Beugelsdijk, 2017), reporting associations rather than effects. Singapore is treated as a boundary-case test of the I–P relationship at the advanced-economy ceiling of the Institutional Context and Regulatory Variables (ICRV) spectrum, an analytically informative, within-context setting that reveals how the conventional nonlinear logic behaves when digital infrastructure is near-universally diffused and institutional transaction costs are at their lowest.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t xml:space="preserve"> </w:t>
      </w:r>
      <w:r>
        <w:t xml:space="preserve">Three findings emerge. Within the observed export-intensity range, the internationalization–performance relationship is better characterized as predominantly positive with mild quadratic curvature than as a formally identified inverted-U. The fitted quadratic does imply a turning point in the upper tail, but that point is imprecisely located and falls in a sparsely populated region of the data. Technological capability is positively associated with labour productivity, while no statistically distinguishable moderation by TCI emerges under the present design. Digital adoption behaves differently: it exhibits no large uniform productivity premium across firms, and its association with productivity becomes more positive only at higher levels of export intensity, with the clearest signal concentrated in the high-export tail. Taken together, the findings provide within-context evidence from Singapore. That evidence sharpens the distinction between technological capability and foundational digital adoption, and it suggests that digital adoption may function more as a contingent scaling resource than as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underscores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(β=+3.119, p=.005)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2026-05-26T08:38:32Z</dcterms:created>
  <dcterms:modified xsi:type="dcterms:W3CDTF">2026-05-26T08:38:32Z</dcterms:modified>
</cp:coreProperties>
</file>

<file path=docProps/custom.xml><?xml version="1.0" encoding="utf-8"?>
<Properties xmlns="http://schemas.openxmlformats.org/officeDocument/2006/custom-properties" xmlns:vt="http://schemas.openxmlformats.org/officeDocument/2006/docPropsVTypes"/>
</file>