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t xml:space="preserve">Nghiên cứu này xem xét cách năng lực công nghệ (Technological Capability Index, TCI) và áp dụng công nghệ số (Digital Adoption Index, DAI) có liên hệ với mối quan hệ giữa quốc tế hoá (internationalisation) và hiệu quả hoạt động kinh doanh của doanh nghiệp (firm performance) ở các doanh nghiệp tại Singapore. Trong toàn bộ bài viết, chúng tôi tuân thủ các khuyến nghị gần đây của lĩnh vực kinh doanh quốc tế (IB) về ngôn ngữ nhân quả có kỷ luật (Antonakis, Bendahan, Jacquart, &amp; Lalive, 2010; Shaver, 2020) và thông lệ tốt nhất trong diễn giải kiểm định giả thuyết dưới các ràng buộc thiết kế nghiên cứu (Meyer, van Witteloostuijn, &amp; Beugelsdijk, 2017). Theo đó, bài viết báo cáo các liên hệ (associations) thay vì tác động (effects). Singapore được xem là trường hợp biên (boundary case) để kiểm định mối quan hệ I–P ở mức trần của nền kinh tế phát triển trên phổ Bối cảnh Thể chế và Biến Quản lý (Institutional Context and Regulatory Variables, ICRV). Đây là bối cảnh trong-một-bối-cảnh (within-context) giàu thông tin về mặt phân tích, cho thấy lô-gíc phi tuyến truyền thống ứng xử ra sao khi hạ tầng số đã khuếch tán gần như phổ quát và chi phí giao dịch thể chế ở mức thấp nhất. Sử dụng dữ liệu vi mô của Khảo sát Doanh nghiệp của Ngân hàng Thế giới (World Bank Enterprise Surveys, WBES) cho Singapore năm 2023, phân tích này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w:t>
      </w:r>
    </w:p>
    <w:p>
      <w:pPr>
        <w:pStyle w:val="BodyText"/>
      </w:pPr>
      <w:r>
        <w:t xml:space="preserve">Ba kết quả chính xuất hiện. Trong khoảng cường độ xuất khẩu quan sát được, mối quan hệ giữa quốc tế hoá và hiệu quả hoạt động được mô tả tốt hơn là chủ yếu dương với độ cong bậc hai nhẹ, thay vì là hình chữ U ngược (inverted U-shape) được nhận dạng chính thức. Hàm bậc hai (quadratic specification) phù hợp có ngụ ý một điểm ngoặt (turning point) ở đuôi trên, nhưng điểm này được định vị thiếu chính xác và nằm trong vùng dữ liệu thưa thớt. TCI có liên hệ thuận chiều với năng suất lao động (labour productivity, ln LP). Trong khi đó, không phát hiện được tác động điều tiết (moderation) của TCI có ý nghĩa thống kê dưới thiết kế hiện tại. DAI lại cho một bức tranh khác: nó không thể hiện một mức chênh năng suất đồng đều và lớn giữa các doanh nghiệp, mà liên hệ giữa DAI và năng suất chỉ trở nên thuận chiều hơn ở mức cường độ xuất khẩu cao hơn, với tín hiệu rõ nhất tập trung ở đuôi xuất khẩu cao. Gộp lại, các kết quả này cung cấp bằng chứng trong-một-bối-cảnh từ Singapore. Bằng chứng đó giúp làm sắc nét sự phân biệt giữa năng lực công nghệ và áp dụng công nghệ số nền tảng, và gợi ý rằng áp dụng công nghệ số có thể vận hành nhiều hơn như một nguồn lực mở rộng có điều kiện (conditional scaling resource) hơn là một lợi thế năng suất đồng đều.</w:t>
      </w:r>
    </w:p>
    <w:p>
      <w:pPr>
        <w:pStyle w:val="BodyText"/>
      </w:pPr>
      <w:r>
        <w:rPr>
          <w:bCs/>
          <w:b/>
        </w:rPr>
        <w:t xml:space="preserve">Từ khoá:</w:t>
      </w:r>
      <w:r>
        <w:t xml:space="preserve"> </w:t>
      </w:r>
      <w:r>
        <w:t xml:space="preserve">mối quan hệ quốc tế hoá–hiệu quả hoạt động; áp dụng công nghệ số; năng lực công nghệ; cường độ xuất khẩu; năng suất lao động; Singapore</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nghiên cứu này gọi là</w:t>
      </w:r>
      <w:r>
        <w:t xml:space="preserve"> </w:t>
      </w:r>
      <w:r>
        <w:rPr>
          <w:iCs/>
          <w:i/>
        </w:rPr>
        <w:t xml:space="preserve">nghịch lý bão hoà số</w:t>
      </w:r>
      <w:r>
        <w:t xml:space="preserve"> </w:t>
      </w:r>
      <w:r>
        <w:t xml:space="preserve">(digital saturation paradox). Ở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Mẫu Singapore cho thấy rõ điều đó: 82% doanh nghiệp báo cáo không xuất khẩu, trong khi chỉ 3% vượt 50% doanh thu nước ngoài trên tổng doanh thu,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Các lợi suất này chỉ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Khoảng trống đầu tiên nằm ở chỗ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vốn có thể có ý nghĩa khác nhau ở các giai đoạn quốc tế hoá khác nhau.</w:t>
      </w:r>
    </w:p>
    <w:p>
      <w:pPr>
        <w:pStyle w:val="BodyText"/>
      </w:pPr>
      <w:r>
        <w:t xml:space="preserve">Bên cạnh đó,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Khoảng trống còn lại liên quan đến tài liệu về mối quan hệ I–P phi tuyến: dòng nghiên cứu này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82%,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82% trên thang đo gốc (−β₁/2β₂ trên FSTS đã trung bình hoá ≈ 77.8%; cộng lại trung bình mẫu 0.045 cho ≈ 82%.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82%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77.8%,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Trước hết,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Bên cạnh đó,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Quan trọng hơn cả,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Trái lại,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Khả năng còn lại là cơ chế</w:t>
      </w:r>
      <w:r>
        <w:t xml:space="preserve"> </w:t>
      </w:r>
      <w:r>
        <w:rPr>
          <w:iCs/>
          <w:i/>
        </w:rPr>
        <w:t xml:space="preserve">chọn lọc</w:t>
      </w:r>
      <w:r>
        <w:t xml:space="preserve">, vốn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Hạn chế đầu tiên là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Bên cạnh đó,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Cuối cùng,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2026-05-26T08:38:34Z</dcterms:created>
  <dcterms:modified xsi:type="dcterms:W3CDTF">2026-05-26T08:38:34Z</dcterms:modified>
</cp:coreProperties>
</file>

<file path=docProps/custom.xml><?xml version="1.0" encoding="utf-8"?>
<Properties xmlns="http://schemas.openxmlformats.org/officeDocument/2006/custom-properties" xmlns:vt="http://schemas.openxmlformats.org/officeDocument/2006/docPropsVTypes"/>
</file>