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88.869 doanh nghiệp, 103 cặp nền kinh tế × năm</w:t>
      </w:r>
      <w:r>
        <w:t xml:space="preserve">, kế thừa và mở rộng từ pool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pool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pool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trường hợp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pool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pool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pool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50 nền kinh tế;</w:t>
      </w:r>
    </w:p>
    <w:p>
      <w:pPr>
        <w:numPr>
          <w:ilvl w:val="0"/>
          <w:numId w:val="1005"/>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schema WBES trong pool mô tả: PICS3/tiền-Standardized (2006–2012, 18 đợt, n=8.048), Standardized (2013–2017, 27 đợt, n=23.940), BREADY/BEE/EAP Core (2018–2026, 57 đợt, n=54.713, chiếm 63,1% pool).</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2006–2026,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văn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6"/>
        </w:numPr>
      </w:pPr>
      <w:r>
        <w:rPr>
          <w:bCs/>
          <w:b/>
        </w:rPr>
        <w:t xml:space="preserve">Nhảy vọt số</w:t>
      </w:r>
      <w:r>
        <w:t xml:space="preserve"> </w:t>
      </w:r>
      <w:r>
        <w:t xml:space="preserve">ở các nhóm đang nổi và chuyển đổi 2018–2026, mở rộng pattern từ 17 nền lên 50 nền. Phân tách Tier-1 (website nhị phân, tiệm cận bão hòa ở Advanced) và Tier-2 (tổng hợp đa thành phần, đang phát triển ở các nhóm IV–VI).</w:t>
      </w:r>
    </w:p>
    <w:p>
      <w:pPr>
        <w:numPr>
          <w:ilvl w:val="0"/>
          <w:numId w:val="1006"/>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88.869 doanh nghiệp, 50 nền kinh tế, 103 cặp nền kinh tế × năm (2006–2026)</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50 nền kinh tế (88.869 doanh nghiệp, gồm Nhật Bản; pool phân loại 96.415 DN / 52 nền).</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8"/>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văn liệu I–P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p>
    <w:p>
      <w:pPr>
        <w:numPr>
          <w:ilvl w:val="0"/>
          <w:numId w:val="1008"/>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pool — gồm Nhật Bản khảo sát lần đầu)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50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Đạt</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Tier 1 trở thành điểm nghẽn. Singapore (Tier 1+2) sang</w:t>
      </w:r>
      <w:r>
        <w:t xml:space="preserve"> </w:t>
      </w:r>
      <w:r>
        <w:rPr>
          <w:bCs/>
          <w:b/>
        </w:rPr>
        <w:t xml:space="preserve">mở rộng có điều kiện</w:t>
      </w:r>
      <w:r>
        <w:t xml:space="preserve">: tương tác DAI×FSTS² dương mạnh (β=3,119, p=0,005),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tc>
      </w:tr>
      <w:tr>
        <w:tc>
          <w:tcPr/>
          <w:p>
            <w:pPr>
              <w:pStyle w:val="Compact"/>
              <w:jc w:val="lef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tc>
      </w:tr>
      <w:tr>
        <w:tc>
          <w:tcPr/>
          <w:p>
            <w:pPr>
              <w:pStyle w:val="Compact"/>
              <w:jc w:val="lef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tc>
      </w:tr>
      <w:tr>
        <w:tc>
          <w:tcPr/>
          <w:p>
            <w:pPr>
              <w:pStyle w:val="Compact"/>
              <w:jc w:val="lef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tc>
      </w:tr>
      <w:tr>
        <w:tc>
          <w:tcPr/>
          <w:p>
            <w:pPr>
              <w:pStyle w:val="Compact"/>
              <w:jc w:val="left"/>
            </w:pPr>
            <w:r>
              <w:rPr>
                <w:bCs/>
                <w:b/>
              </w:rPr>
              <w:t xml:space="preserve">Nhóm V,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do MNE du lịch/viễn thông); đổi mới sản phẩm cao nhất (34,2%, đổi mới bằng nguồn lực hạn chế); website khá cao ngoại trừ Kiribati (18,7%).</w:t>
            </w:r>
          </w:p>
        </w:tc>
      </w:tr>
      <w:tr>
        <w:tc>
          <w:tcPr/>
          <w:p>
            <w:pPr>
              <w:pStyle w:val="Compact"/>
              <w:jc w:val="left"/>
            </w:pPr>
            <w:r>
              <w:t xml:space="preserve">#### 2.3.2.3 Danh sách 50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w:t>
            </w:r>
            <w:r>
              <w:t xml:space="preserve"> </w:t>
            </w:r>
            <w:r>
              <w:rPr>
                <w:bCs/>
                <w:b/>
              </w:rPr>
              <w:t xml:space="preserve">Nhật Bản</w:t>
            </w:r>
            <w:r>
              <w:t xml:space="preserve"> </w:t>
            </w:r>
            <w:r>
              <w:t xml:space="preserve">| 6.390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2.231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45.003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18.957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2.295 |</w:t>
            </w:r>
            <w:r>
              <w:t xml:space="preserve"> </w:t>
            </w:r>
            <w:r>
              <w:t xml:space="preserve">|</w:t>
            </w:r>
            <w:r>
              <w:t xml:space="preserve"> </w:t>
            </w:r>
            <w:r>
              <w:rPr>
                <w:bCs/>
                <w:b/>
              </w:rPr>
              <w:t xml:space="preserve">Tổng</w:t>
            </w:r>
            <w:r>
              <w:t xml:space="preserve"> </w:t>
            </w:r>
            <w:r>
              <w:t xml:space="preserve">| |</w:t>
            </w:r>
            <w:r>
              <w:t xml:space="preserve"> </w:t>
            </w:r>
            <w:r>
              <w:rPr>
                <w:bCs/>
                <w:b/>
              </w:rPr>
              <w:t xml:space="preserve">50 nền kinh tế</w:t>
            </w:r>
            <w:r>
              <w:t xml:space="preserve"> </w:t>
            </w:r>
            <w:r>
              <w:t xml:space="preserve">|</w:t>
            </w:r>
            <w:r>
              <w:t xml:space="preserve"> </w:t>
            </w:r>
            <w:r>
              <w:rPr>
                <w:bCs/>
                <w:b/>
              </w:rPr>
              <w:t xml:space="preserve">88.869</w:t>
            </w:r>
            <w:r>
              <w:t xml:space="preserve"> </w:t>
            </w:r>
            <w:r>
              <w:t xml:space="preserve">(pool mô tả) |</w:t>
            </w:r>
          </w:p>
        </w:tc>
      </w:tr>
      <w:tr>
        <w:tc>
          <w:tcPr/>
          <w:p>
            <w:pPr>
              <w:pStyle w:val="Compact"/>
              <w:jc w:val="left"/>
            </w:pPr>
            <w:r>
              <w:rPr>
                <w:iCs/>
                <w:i/>
              </w:rPr>
              <w:t xml:space="preserve">Ghi chú: Cột N là số doanh nghiệp trong pool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(pool phân loại 96.415 / 52 nền); vòng tái ước lượng 50 nền đã hoàn tất nên mô tả và ước lượng nay dùng chung MỘT khung 50 nền (hồi quy M2 N=81.022; M5 N=79.080).</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(trong đợt) | Cơ chế quốc tế hóa → hiệu quả |</w:t>
            </w:r>
            <w:r>
              <w:t xml:space="preserve"> </w:t>
            </w:r>
            <w:r>
              <w:t xml:space="preserve">|—|—|—|—|—|—|—|</w:t>
            </w:r>
            <w:r>
              <w:t xml:space="preserve"> </w:t>
            </w:r>
            <w:r>
              <w:t xml:space="preserve">| I — Innovation | &gt;+0,80 | &gt;$30k | R&amp;D + dịch vụ tri thức | Trung bình (6–15%) | ~1,00 | U ngược nhẹ / tuyến tính dương; điểm uốn ~88,6% (SG) |</w:t>
            </w:r>
            <w:r>
              <w:t xml:space="preserve"> </w:t>
            </w:r>
            <w:r>
              <w:t xml:space="preserve">| II — Resource | +0,00→+0,50 | &gt;$20k | Xuất khẩu dầu/khí | Thấp (1–4%) | ~1,14 | Phi tuyến suy yếu; nhà nước tô phân phối lại |</w:t>
            </w:r>
            <w:r>
              <w:t xml:space="preserve"> </w:t>
            </w:r>
            <w:r>
              <w:t xml:space="preserve">| III — Upper-mid | 0,00→+0,80 | $5k–$20k | Sản xuất + chuyển đổi | Trung bình (8–12%) | ~1,37 | U ngược; điểm uốn ~47% |</w:t>
            </w:r>
            <w:r>
              <w:t xml:space="preserve"> </w:t>
            </w:r>
            <w:r>
              <w:t xml:space="preserve">| IV — Lower-mid transition | -0,50→0,00 | $1k–$5k | FDI-driven sản xuất | Biến động (7–23%) | ~1,31 | U ngược; điểm uốn 39–46% (VNM) — bẫy chuyển hướng nguồn lực |</w:t>
            </w:r>
            <w:r>
              <w:t xml:space="preserve"> </w:t>
            </w:r>
            <w:r>
              <w:t xml:space="preserve">| V — Emerging | &lt;-0,50 | &lt;$1k–$3k | Tự cấp + phi chính thức | Thấp–trung bình | ~1,39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VEFR, JABS, JFAR, MIR).</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pool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pool — gồm Nhật Bản, đợt khảo sát đầu tiên, n=2.168); đợt khảo sát Nepal 2025 dùng bảng hỏi BREADY Micro (doanh nghiệp siêu nhỏ), không phải cross-section chuẩn nên không thuộc pool, chỉ được nhắc đến như tham chiếu.</w:t>
      </w:r>
    </w:p>
    <w:p>
      <w:pPr>
        <w:pStyle w:val="BodyText"/>
      </w:pPr>
      <w:r>
        <w:rPr>
          <w:iCs/>
          <w:i/>
        </w:rPr>
        <w:t xml:space="preserve">Hình 2.3.3.1. Phân bố pool mô tả 88.869 doanh nghiệp (2006–2026) theo 3 thế hệ schema WBES: PICS3 (2006–2012, 18 đợt, n=8.048), Standardized (2013–2017, 27 đợt, n=23.940), BREADY (2018–2026, 58 đợt, n=56.881). Các đợt 2024–2026 đóng góp 27.859 doanh nghiệp (31,3% pool, 31 đợt), phản ánh chu kỳ khảo sát WBES dày lên rõ rệt sau đại dịch.</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pattern</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50 nền (SME = &lt;100 lao động thường xuyên, biến l1; FDI = sở hữu nước ngoài ≥10%, biến b2b). ¹Nhóm II: đủ 6/6 nền GCC. ²Nhóm VI: đủ 8/8 nền, SME cao nhất (91,8%) và FDI cao (20,0%, do MNE du lịch/viễn thông).</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62026"/>
    <w:p>
      <w:pPr>
        <w:pStyle w:val="Heading3"/>
      </w:pPr>
      <w:r>
        <w:t xml:space="preserve">2.3.6 Biến thiên theo thời gian (2006–2026)</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rPr>
          <w:iCs/>
          <w:i/>
        </w:rPr>
        <w:t xml:space="preserve">Hình 2.3.4.1. Slope chart minh họa thay đổi 5 chỉ số giữa 2 kỳ khảo sát cho 4 nhóm ICRV có dữ liệu hai kỳ (III–VI). Pattern nổi bật: website tăng mạnh ở IV/V/VI; FDI giảm nhẹ phổ biến; R&amp;D Nhóm V giảm mạnh do hiệu ứng schema.</w:t>
      </w:r>
    </w:p>
    <w:p>
      <w:pPr>
        <w:pStyle w:val="BodyText"/>
      </w:pPr>
      <w:r>
        <w:rPr>
          <w:iCs/>
          <w:i/>
        </w:rPr>
        <w:t xml:space="preserve">Hình 2.3.6.1. Radar/spider chart cho 3 nhóm (III, V, VI) trên 5 chiều (FSTS, Đổi mới sản phẩm, R&amp;D, Website, ISO) với 2 kỳ khảo sát 2006–2012 vs 2018–2026.</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pool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56"/>
    <w:bookmarkEnd w:id="57"/>
    <w:bookmarkStart w:id="66" w:name="bảy-trường-hợp-điển-hình"/>
    <w:p>
      <w:pPr>
        <w:pStyle w:val="Heading3"/>
      </w:pPr>
      <w:r>
        <w:t xml:space="preserve">2.3.7 Bảy trường hợp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640e052b3f06c462256ef7d8f217c058a16bb1c"/>
    <w:p>
      <w:pPr>
        <w:pStyle w:val="Heading4"/>
      </w:pPr>
      <w:r>
        <w:t xml:space="preserve">2.3.7.3 Việt Nam (3 đợt khảo sát 2009/2015/2023; pool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60"/>
    <w:bookmarkStart w:id="61" w:name="X3eef3800109897c00fac3d945a7a8114b94085f"/>
    <w:p>
      <w:pPr>
        <w:pStyle w:val="Heading4"/>
      </w:pPr>
      <w:r>
        <w:t xml:space="preserve">2.3.7.4 Trung Quốc (mẫu phân tích của nghiên cứu Trung Quốc n=4.559; pool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62"/>
    <w:bookmarkStart w:id="63"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2009–2019 (3 đợt khảo sát WBES), FSTS đình trệ; FDI giảm dần phản ánh lời nguyền tài nguyên giai đoạn 1.</w:t>
      </w:r>
    </w:p>
    <w:bookmarkEnd w:id="63"/>
    <w:bookmarkStart w:id="64"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 Adv. đổi mới</w:t>
            </w:r>
          </w:p>
        </w:tc>
        <w:tc>
          <w:tcPr/>
          <w:p>
            <w:pPr>
              <w:pStyle w:val="Compact"/>
              <w:jc w:val="right"/>
            </w:pPr>
            <w:r>
              <w:t xml:space="preserve">II — Adv. tài nguyên</w:t>
            </w:r>
          </w:p>
        </w:tc>
        <w:tc>
          <w:tcPr/>
          <w:p>
            <w:pPr>
              <w:pStyle w:val="Compact"/>
              <w:jc w:val="right"/>
            </w:pPr>
            <w:r>
              <w:t xml:space="preserve">III — Trung bình cao</w:t>
            </w:r>
          </w:p>
        </w:tc>
        <w:tc>
          <w:tcPr/>
          <w:p>
            <w:pPr>
              <w:pStyle w:val="Compact"/>
              <w:jc w:val="right"/>
            </w:pPr>
            <w:r>
              <w:t xml:space="preserve">IV — Chuyển đổi TB-thấp</w:t>
            </w:r>
          </w:p>
        </w:tc>
        <w:tc>
          <w:tcPr/>
          <w:p>
            <w:pPr>
              <w:pStyle w:val="Compact"/>
              <w:jc w:val="right"/>
            </w:pPr>
            <w:r>
              <w:t xml:space="preserve">V — Đang nổi</w:t>
            </w:r>
          </w:p>
        </w:tc>
        <w:tc>
          <w:tcPr/>
          <w:p>
            <w:pPr>
              <w:pStyle w:val="Compact"/>
              <w:jc w:val="right"/>
            </w:pPr>
            <w:r>
              <w:t xml:space="preserve">VI —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Tier-1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Tier-1, xem kiểm định loại trừ ICT tại §2.3.4.3.</w:t>
      </w:r>
    </w:p>
    <w:p>
      <w:pPr>
        <w:pStyle w:val="BodyText"/>
      </w:pPr>
      <w:r>
        <w:rPr>
          <w:bCs/>
          <w:b/>
        </w:rPr>
        <w:t xml:space="preserve">(vii) Pattern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pool,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50 nền với 88.869 doanh nghiệp / 103 cặp nền kinh tế × năm (gồm Nhật Bản; pool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(2025b).</w:t>
      </w:r>
      <w:r>
        <w:t xml:space="preserve"> </w:t>
      </w:r>
      <w:r>
        <w:rPr>
          <w:iCs/>
          <w:i/>
        </w:rPr>
        <w:t xml:space="preserve">Taking stock, September 2025: Viet Nam economic update —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ae890b6b8cd68e0e0e491cfb5e11fd1c6a9c2d"/>
    <w:p>
      <w:pPr>
        <w:pStyle w:val="Heading3"/>
      </w:pPr>
      <w:r>
        <w:t xml:space="preserve">Phụ lục A: Phạm vi thực tế của pool dữ liệu WBES</w:t>
      </w:r>
    </w:p>
    <w:p>
      <w:pPr>
        <w:pStyle w:val="FirstParagraph"/>
      </w:pPr>
      <w:r>
        <w:rPr>
          <w:bCs/>
          <w:b/>
        </w:rPr>
        <w:t xml:space="preserve">Bảng A.1</w:t>
      </w:r>
      <w:r>
        <w:t xml:space="preserve">.</w:t>
      </w:r>
      <w:r>
        <w:t xml:space="preserve"> </w:t>
      </w:r>
      <w:r>
        <w:rPr>
          <w:iCs/>
          <w:i/>
        </w:rPr>
        <w:t xml:space="preserve">Phân bổ 50 nền kinh tế theo nhóm ICRV, pool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pool mô tả. Khung ước lượng đa quốc gia của luận án (P7: 88.869 doanh nghiệp / 50 nền, gồm Nhật Bản; pool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pool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2026-06-14T18:05:38Z</dcterms:created>
  <dcterms:modified xsi:type="dcterms:W3CDTF">2026-06-14T18:05:38Z</dcterms:modified>
</cp:coreProperties>
</file>

<file path=docProps/custom.xml><?xml version="1.0" encoding="utf-8"?>
<Properties xmlns="http://schemas.openxmlformats.org/officeDocument/2006/custom-properties" xmlns:vt="http://schemas.openxmlformats.org/officeDocument/2006/docPropsVTypes"/>
</file>