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các mô hình lồng nhau của P7 trên khung 50 nền (Chương 4, §4.6)</w:t>
      </w:r>
      <w:r>
        <w:t xml:space="preserve"> </w:t>
      </w:r>
      <w:r>
        <w:t xml:space="preserve">- Bảng 4.5. Điểm uốn theo nhóm ICRV, khung 50 nền (Chương 4, §4.6)</w:t>
      </w:r>
      <w:r>
        <w:t xml:space="preserve"> </w:t>
      </w:r>
      <w:r>
        <w:t xml:space="preserve">- Bảng 4.6. Điểm uốn theo đợt khảo sát, Ấn Độ (Chương 4, §4.8)</w:t>
      </w:r>
      <w:r>
        <w:t xml:space="preserve"> </w:t>
      </w:r>
      <w:r>
        <w:t xml:space="preserve">- Bảng 4.7.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(50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r>
        <w:tc>
          <w:tcPr/>
          <w:p>
            <w:pPr>
              <w:pStyle w:val="Compact"/>
              <w:jc w:val="left"/>
            </w:pPr>
            <w:r>
              <w:t xml:space="preserve">P9 — Ấn Độ 2014–2025</w:t>
            </w:r>
          </w:p>
        </w:tc>
        <w:tc>
          <w:tcPr/>
          <w:p>
            <w:pPr>
              <w:pStyle w:val="Compact"/>
              <w:jc w:val="left"/>
            </w:pPr>
            <w:r>
              <w:t xml:space="preserve">Lower-middle transition (Nhóm IV)</w:t>
            </w:r>
          </w:p>
        </w:tc>
        <w:tc>
          <w:tcPr/>
          <w:p>
            <w:pPr>
              <w:pStyle w:val="Compact"/>
              <w:jc w:val="left"/>
            </w:pPr>
            <w:r>
              <w:t xml:space="preserve">§4.8</w:t>
            </w:r>
          </w:p>
        </w:tc>
        <w:tc>
          <w:tcPr/>
          <w:p>
            <w:pPr>
              <w:pStyle w:val="Compact"/>
              <w:jc w:val="left"/>
            </w:pPr>
            <w:r>
              <w:t xml:space="preserve">H1c (độ bền ngưỡng dưới biến động thể chế)</w:t>
            </w:r>
          </w:p>
        </w:tc>
      </w:tr>
      <w:tr>
        <w:tc>
          <w:tcPr/>
          <w:p>
            <w:pPr>
              <w:pStyle w:val="Compact"/>
              <w:jc w:val="left"/>
            </w:pPr>
            <w:r>
              <w:t xml:space="preserve">P10 — Nhật Bản 2025</w:t>
            </w:r>
          </w:p>
        </w:tc>
        <w:tc>
          <w:tcPr/>
          <w:p>
            <w:pPr>
              <w:pStyle w:val="Compact"/>
              <w:jc w:val="left"/>
            </w:pPr>
            <w:r>
              <w:t xml:space="preserve">Advanced đổi mới (Nhóm I)</w:t>
            </w:r>
          </w:p>
        </w:tc>
        <w:tc>
          <w:tcPr/>
          <w:p>
            <w:pPr>
              <w:pStyle w:val="Compact"/>
              <w:jc w:val="left"/>
            </w:pPr>
            <w:r>
              <w:t xml:space="preserve">§4.1.5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9"/>
        </w:numPr>
        <w:pStyle w:val="Compact"/>
      </w:pPr>
      <w:r>
        <w:rPr>
          <w:bCs/>
          <w:b/>
        </w:rPr>
        <w:t xml:space="preserve">lnNSLD_it</w:t>
      </w:r>
      <w:r>
        <w:t xml:space="preserve">: ln(năng suất lao động) = ln(doanh thu / lao động thường trực), biến phụ thuộc</w:t>
      </w:r>
    </w:p>
    <w:p>
      <w:pPr>
        <w:numPr>
          <w:ilvl w:val="0"/>
          <w:numId w:val="1009"/>
        </w:numPr>
        <w:pStyle w:val="Compact"/>
      </w:pPr>
      <w:r>
        <w:rPr>
          <w:bCs/>
          <w:b/>
        </w:rPr>
        <w:t xml:space="preserve">CDDXK_c_it</w:t>
      </w:r>
      <w:r>
        <w:t xml:space="preserve">: cường độ xuất khẩu mean-centred, FSTS_c = (d3c/100) − mean_pool(FSTS)</w:t>
      </w:r>
    </w:p>
    <w:p>
      <w:pPr>
        <w:numPr>
          <w:ilvl w:val="0"/>
          <w:numId w:val="1009"/>
        </w:numPr>
        <w:pStyle w:val="Compact"/>
      </w:pPr>
      <w:r>
        <w:rPr>
          <w:bCs/>
          <w:b/>
        </w:rPr>
        <w:t xml:space="preserve">CDDXK_c²_it</w:t>
      </w:r>
      <w:r>
        <w:t xml:space="preserve">: CDDXK_c bình phương, kiểm định phi tuyến</w:t>
      </w:r>
    </w:p>
    <w:p>
      <w:pPr>
        <w:numPr>
          <w:ilvl w:val="0"/>
          <w:numId w:val="1009"/>
        </w:numPr>
        <w:pStyle w:val="Compact"/>
      </w:pPr>
      <w:r>
        <w:rPr>
          <w:bCs/>
          <w:b/>
        </w:rPr>
        <w:t xml:space="preserve">NLCN_z_it</w:t>
      </w:r>
      <w:r>
        <w:t xml:space="preserve">: năng lực công nghệ z-standardised, TCI_z = z-std(b8, e6)</w:t>
      </w:r>
    </w:p>
    <w:p>
      <w:pPr>
        <w:numPr>
          <w:ilvl w:val="0"/>
          <w:numId w:val="1009"/>
        </w:numPr>
        <w:pStyle w:val="Compact"/>
      </w:pPr>
      <w:r>
        <w:rPr>
          <w:bCs/>
          <w:b/>
        </w:rPr>
        <w:t xml:space="preserve">CSS_z_it</w:t>
      </w:r>
      <w:r>
        <w:t xml:space="preserve">: chỉ số số hoá z-standardised,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 sang SIDS)</w:t>
      </w:r>
    </w:p>
    <w:p>
      <w:pPr>
        <w:numPr>
          <w:ilvl w:val="0"/>
          <w:numId w:val="1009"/>
        </w:numPr>
        <w:pStyle w:val="Compact"/>
      </w:pPr>
      <w:r>
        <w:rPr>
          <w:bCs/>
          <w:b/>
        </w:rPr>
        <w:t xml:space="preserve">lnLD_it</w:t>
      </w:r>
      <w:r>
        <w:t xml:space="preserve">: ln(lao động thường trực),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biến điều tiết: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phản ánh thực hành tốt nhất trong kinh tế lượng ứng dụng khi làm việc với dữ liệu quan sát quy mô lớn (Angrist &amp; Pischke, 2009).</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30"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8"/>
    <w:bookmarkStart w:id="12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§4.6.2).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§4.6.2).</w:t>
      </w:r>
    </w:p>
    <w:p>
      <w:r>
        <w:pict>
          <v:rect style="width:0;height:1.5pt" o:hralign="center" o:hrstd="t" o:hr="t"/>
        </w:pict>
      </w:r>
    </w:p>
    <w:bookmarkEnd w:id="129"/>
    <w:bookmarkEnd w:id="130"/>
    <w:bookmarkStart w:id="135" w:name="Xe0084a7c2f7e752cafc4091ca0758f37f91bfa0"/>
    <w:p>
      <w:pPr>
        <w:pStyle w:val="Heading2"/>
      </w:pPr>
      <w:r>
        <w:t xml:space="preserve">4.2 Kết quả tổng hợp định lượng: Meta-analysis ba tầng (P6)</w:t>
      </w:r>
    </w:p>
    <w:bookmarkStart w:id="13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1"/>
    <w:bookmarkStart w:id="13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2"/>
    <w:bookmarkStart w:id="133"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33"/>
    <w:bookmarkStart w:id="13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4"/>
    <w:bookmarkEnd w:id="135"/>
    <w:bookmarkStart w:id="139" w:name="Xae571c1410747d630a72c4d12985bac375822ae"/>
    <w:p>
      <w:pPr>
        <w:pStyle w:val="Heading2"/>
      </w:pPr>
      <w:r>
        <w:t xml:space="preserve">4.3 Kết quả bối cảnh thể chế tiên tiến: Đổi mới: Singapore (P4)</w:t>
      </w:r>
    </w:p>
    <w:bookmarkStart w:id="13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6"/>
    <w:bookmarkStart w:id="13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7"/>
    <w:bookmarkStart w:id="13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8"/>
    <w:bookmarkEnd w:id="139"/>
    <w:bookmarkStart w:id="143" w:name="Xabe361c2d5961cf19ce7ab2bd5d9bc6d758140a"/>
    <w:p>
      <w:pPr>
        <w:pStyle w:val="Heading2"/>
      </w:pPr>
      <w:r>
        <w:t xml:space="preserve">4.4 Kết quả bối cảnh thể chế trung bình cao: Trung Quốc, 2012–2024 (P5)</w:t>
      </w:r>
    </w:p>
    <w:bookmarkStart w:id="14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0"/>
    <w:bookmarkStart w:id="141"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1"/>
    <w:bookmarkStart w:id="14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2"/>
    <w:bookmarkEnd w:id="143"/>
    <w:bookmarkStart w:id="148" w:name="Xdbd5cc67084304ba85b73781c0cb0c00b74055b"/>
    <w:p>
      <w:pPr>
        <w:pStyle w:val="Heading2"/>
      </w:pPr>
      <w:r>
        <w:t xml:space="preserve">4.5 Kết quả bối cảnh chuyển đổi bậc thấp–trung: Việt Nam (P3)</w:t>
      </w:r>
    </w:p>
    <w:bookmarkStart w:id="14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4"/>
    <w:bookmarkStart w:id="145"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45"/>
    <w:bookmarkStart w:id="14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6"/>
    <w:bookmarkStart w:id="14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7"/>
    <w:bookmarkEnd w:id="148"/>
    <w:bookmarkStart w:id="155" w:name="X561afa853383c674354c1acb167a55cae3a018f"/>
    <w:p>
      <w:pPr>
        <w:pStyle w:val="Heading2"/>
      </w:pPr>
      <w:r>
        <w:t xml:space="preserve">4.6 Kết quả kiểm định toàn mẫu đa bối cảnh châu Á (P7)</w:t>
      </w:r>
    </w:p>
    <w:bookmarkStart w:id="14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49"/>
    <w:bookmarkStart w:id="153"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w:t>
            </w:r>
          </w:p>
        </w:tc>
        <w:tc>
          <w:tcPr/>
          <w:p>
            <w:pPr>
              <w:pStyle w:val="Compact"/>
              <w:jc w:val="right"/>
            </w:pPr>
            <w:r>
              <w:t xml:space="preserve">—</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849196"/>
            <wp:effectExtent b="0" l="0" r="0" t="0"/>
            <wp:docPr descr="Hình 4.1. Họ đường cong I–P phụ thuộc chế độ thể chế ICRV" title="" id="151" name="Picture"/>
            <a:graphic>
              <a:graphicData uri="http://schemas.openxmlformats.org/drawingml/2006/picture">
                <pic:pic>
                  <pic:nvPicPr>
                    <pic:cNvPr descr="figures/fig_4_x_ip_curves_icrv_gradient.png" id="152" name="Picture"/>
                    <pic:cNvPicPr>
                      <a:picLocks noChangeArrowheads="1" noChangeAspect="1"/>
                    </pic:cNvPicPr>
                  </pic:nvPicPr>
                  <pic:blipFill>
                    <a:blip r:embed="rId150"/>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53"/>
    <w:bookmarkStart w:id="154"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54"/>
    <w:bookmarkEnd w:id="155"/>
    <w:bookmarkStart w:id="160" w:name="X42f69945b56833cca239d45dc5864a7be6f74d7"/>
    <w:p>
      <w:pPr>
        <w:pStyle w:val="Heading2"/>
      </w:pPr>
      <w:r>
        <w:t xml:space="preserve">4.7 Kết quả trường hợp biên SIDS: Các nền kinh tế đảo nhỏ đang phát triển (P8)</w:t>
      </w:r>
    </w:p>
    <w:bookmarkStart w:id="156"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6"/>
    <w:bookmarkStart w:id="157"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57"/>
    <w:bookmarkStart w:id="158"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58"/>
    <w:bookmarkStart w:id="15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9"/>
    <w:bookmarkEnd w:id="160"/>
    <w:bookmarkStart w:id="16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1"/>
    <w:bookmarkStart w:id="162"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2"/>
    <w:bookmarkStart w:id="163"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w:t>
            </w:r>
          </w:p>
        </w:tc>
        <w:tc>
          <w:tcPr/>
          <w:p>
            <w:pPr>
              <w:pStyle w:val="Compact"/>
              <w:jc w:val="left"/>
            </w:pPr>
            <w:r>
              <w:t xml:space="preserve">—</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3"/>
    <w:bookmarkStart w:id="16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4"/>
    <w:bookmarkStart w:id="165" w:name="chương-5-kết-luận-và-đề-xuất"/>
    <w:p>
      <w:pPr>
        <w:pStyle w:val="Heading1"/>
      </w:pPr>
      <w:r>
        <w:t xml:space="preserve">CHƯƠNG 5: KẾT LUẬN VÀ ĐỀ XUẤT</w:t>
      </w:r>
    </w:p>
    <w:bookmarkEnd w:id="165"/>
    <w:p>
      <w:r>
        <w:pict>
          <v:rect style="width:0;height:1.5pt" o:hralign="center" o:hrstd="t" o:hr="t"/>
        </w:pict>
      </w:r>
    </w:p>
    <w:bookmarkStart w:id="16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6"/>
    <w:bookmarkStart w:id="173" w:name="Xff8cef3ed320f9cf6f3fba4ff558bfed3af19c6"/>
    <w:p>
      <w:pPr>
        <w:pStyle w:val="Heading2"/>
      </w:pPr>
      <w:r>
        <w:t xml:space="preserve">5.1 Bàn luận kết quả theo khung lý thuyết CDCM</w:t>
      </w:r>
    </w:p>
    <w:bookmarkStart w:id="16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67"/>
    <w:bookmarkStart w:id="16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8"/>
    <w:bookmarkStart w:id="169"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69"/>
    <w:bookmarkStart w:id="170"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0"/>
    <w:bookmarkStart w:id="17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171"/>
    <w:bookmarkStart w:id="17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2"/>
    <w:bookmarkEnd w:id="173"/>
    <w:bookmarkStart w:id="177" w:name="so-sánh-với-nghiên-cứu-trước-đây"/>
    <w:p>
      <w:pPr>
        <w:pStyle w:val="Heading2"/>
      </w:pPr>
      <w:r>
        <w:t xml:space="preserve">5.2 So sánh với nghiên cứu trước đây</w:t>
      </w:r>
    </w:p>
    <w:bookmarkStart w:id="17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174"/>
    <w:bookmarkStart w:id="17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175"/>
    <w:bookmarkStart w:id="17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6"/>
    <w:bookmarkEnd w:id="177"/>
    <w:bookmarkStart w:id="181" w:name="đóng-góp-lý-thuyết-1"/>
    <w:p>
      <w:pPr>
        <w:pStyle w:val="Heading2"/>
      </w:pPr>
      <w:r>
        <w:t xml:space="preserve">5.3 Đóng góp lý thuyết</w:t>
      </w:r>
    </w:p>
    <w:bookmarkStart w:id="1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8"/>
    <w:bookmarkStart w:id="179"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179"/>
    <w:bookmarkStart w:id="180"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180"/>
    <w:bookmarkEnd w:id="181"/>
    <w:bookmarkStart w:id="186" w:name="đề-xuất-chính-sách-và-quản-trị"/>
    <w:p>
      <w:pPr>
        <w:pStyle w:val="Heading2"/>
      </w:pPr>
      <w:r>
        <w:t xml:space="preserve">5.4 Đề xuất chính sách và quản trị</w:t>
      </w:r>
    </w:p>
    <w:bookmarkStart w:id="182"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2"/>
    <w:bookmarkStart w:id="183"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3"/>
    <w:bookmarkStart w:id="184"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4"/>
    <w:bookmarkStart w:id="185"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5"/>
    <w:bookmarkEnd w:id="186"/>
    <w:bookmarkStart w:id="191" w:name="hạn-chế-và-hướng-nghiên-cứu-tương-lai"/>
    <w:p>
      <w:pPr>
        <w:pStyle w:val="Heading2"/>
      </w:pPr>
      <w:r>
        <w:t xml:space="preserve">5.5 Hạn chế và hướng nghiên cứu tương lai</w:t>
      </w:r>
    </w:p>
    <w:bookmarkStart w:id="1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7"/>
    <w:bookmarkStart w:id="188"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8"/>
    <w:bookmarkStart w:id="189"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9"/>
    <w:bookmarkStart w:id="190"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190"/>
    <w:bookmarkEnd w:id="191"/>
    <w:bookmarkStart w:id="196" w:name="kết-luận"/>
    <w:p>
      <w:pPr>
        <w:pStyle w:val="Heading2"/>
      </w:pPr>
      <w:r>
        <w:t xml:space="preserve">5.6 Kết luận</w:t>
      </w:r>
    </w:p>
    <w:bookmarkStart w:id="19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chữ U ngược với TP = 39,3–46,2%, TCI là biến điều tiết dương có ý nghĩa.</w:t>
      </w:r>
    </w:p>
    <w:p>
      <w:pPr>
        <w:numPr>
          <w:ilvl w:val="0"/>
          <w:numId w:val="1017"/>
        </w:numPr>
      </w:pPr>
      <w:r>
        <w:rPr>
          <w:bCs/>
          <w:b/>
        </w:rPr>
        <w:t xml:space="preserve">P4</w:t>
      </w:r>
      <w:r>
        <w:t xml:space="preserve">: phân tích Singapore (Advanced Innovation), xác nhận chữ U ngược với TP ≈ 88,6% (rộng CI), DAI khuếch đại tại mức FSTS cao.</w:t>
      </w:r>
    </w:p>
    <w:p>
      <w:pPr>
        <w:numPr>
          <w:ilvl w:val="0"/>
          <w:numId w:val="1017"/>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2"/>
    <w:bookmarkStart w:id="1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193"/>
    <w:bookmarkStart w:id="1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4"/>
    <w:bookmarkStart w:id="1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5"/>
    <w:bookmarkEnd w:id="196"/>
    <w:bookmarkStart w:id="233"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7"/>
    <w:bookmarkStart w:id="1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8"/>
    <w:bookmarkStart w:id="1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9"/>
    <w:bookmarkStart w:id="2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0"/>
    <w:bookmarkStart w:id="2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1"/>
    <w:bookmarkStart w:id="2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2"/>
    <w:bookmarkStart w:id="2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3"/>
    <w:bookmarkStart w:id="204" w:name="h.-firm-performance-đa-chiều"/>
    <w:p>
      <w:pPr>
        <w:pStyle w:val="Heading2"/>
      </w:pPr>
      <w:r>
        <w:t xml:space="preserve">H. Firm performance đa chiều</w:t>
      </w:r>
    </w:p>
    <w:p>
      <w:pPr>
        <w:pStyle w:val="FirstParagraph"/>
      </w:pPr>
      <w:r>
        <w:t xml:space="preserve">(Giữ nguyên từ v2.1.)</w:t>
      </w:r>
    </w:p>
    <w:bookmarkEnd w:id="204"/>
    <w:bookmarkStart w:id="2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5"/>
    <w:bookmarkStart w:id="2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6"/>
    <w:bookmarkEnd w:id="207"/>
    <w:bookmarkStart w:id="2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8"/>
    <w:bookmarkStart w:id="2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9"/>
    <w:bookmarkStart w:id="2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0"/>
    <w:bookmarkStart w:id="2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1"/>
    <w:bookmarkStart w:id="212"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12"/>
    <w:bookmarkStart w:id="2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3"/>
    <w:bookmarkStart w:id="2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4"/>
    <w:bookmarkStart w:id="2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5"/>
    <w:bookmarkStart w:id="2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6"/>
    <w:bookmarkStart w:id="2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7"/>
    <w:bookmarkStart w:id="221" w:name="hướng-dẫn-sử-dụng-cập-nhật-v2.5"/>
    <w:p>
      <w:pPr>
        <w:pStyle w:val="Heading2"/>
      </w:pPr>
      <w:r>
        <w:t xml:space="preserve">Hướng dẫn sử dụng (cập nhật v2.5)</w:t>
      </w:r>
    </w:p>
    <w:bookmarkStart w:id="218"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8"/>
    <w:bookmarkStart w:id="219"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9"/>
    <w:bookmarkStart w:id="2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0"/>
    <w:bookmarkEnd w:id="221"/>
    <w:bookmarkStart w:id="2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2"/>
    <w:bookmarkStart w:id="2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3"/>
    <w:bookmarkStart w:id="2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4"/>
    <w:bookmarkStart w:id="2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5"/>
    <w:bookmarkStart w:id="2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6" w:name="X041759103c7c799db9799d6bd71834307a428c8"/>
    <w:p>
      <w:pPr>
        <w:pStyle w:val="Heading3"/>
      </w:pPr>
      <w:r>
        <w:t xml:space="preserve">Công trình của tác giả luận án — Cập nhật Section M</w:t>
      </w:r>
    </w:p>
    <w:bookmarkEnd w:id="226"/>
    <w:bookmarkStart w:id="2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7"/>
    <w:bookmarkStart w:id="2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8"/>
    <w:bookmarkEnd w:id="229"/>
    <w:bookmarkStart w:id="230"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0"/>
    <w:bookmarkStart w:id="231"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31"/>
    <w:bookmarkStart w:id="232"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p>
      <w:r>
        <w:br w:type="page"/>
      </w:r>
    </w:p>
    <w:bookmarkEnd w:id="232"/>
    <w:bookmarkEnd w:id="233"/>
    <w:bookmarkStart w:id="24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4"/>
    <w:bookmarkStart w:id="23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5"/>
    <w:bookmarkStart w:id="23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36"/>
    <w:bookmarkStart w:id="23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7"/>
    <w:bookmarkStart w:id="23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8"/>
    <w:bookmarkStart w:id="239"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39"/>
    <w:bookmarkStart w:id="24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40"/>
    <w:bookmarkStart w:id="24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1"/>
    <w:bookmarkStart w:id="24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2"/>
    <w:bookmarkStart w:id="24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3"/>
    <w:bookmarkEnd w:id="2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50" Target="media/rId1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2026-06-14T18:05:36Z</dcterms:created>
  <dcterms:modified xsi:type="dcterms:W3CDTF">2026-06-14T18:05:36Z</dcterms:modified>
</cp:coreProperties>
</file>

<file path=docProps/custom.xml><?xml version="1.0" encoding="utf-8"?>
<Properties xmlns="http://schemas.openxmlformats.org/officeDocument/2006/custom-properties" xmlns:vt="http://schemas.openxmlformats.org/officeDocument/2006/docPropsVTypes"/>
</file>