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65356a2c7090008fc2341306a20a5414c93680"/>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r>
        <w:t xml:space="preserve"> </w:t>
      </w:r>
      <w:r>
        <w:t xml:space="preserve">—</w:t>
      </w:r>
    </w:p>
    <w:bookmarkStart w:id="29" w:name="chương-5-bảy-tiểu-cảnh-điển-hình"/>
    <w:p>
      <w:pPr>
        <w:pStyle w:val="Heading2"/>
      </w:pPr>
      <w:r>
        <w:t xml:space="preserve">CHƯƠNG 5 — BẢY TIỂU CẢNH ĐIỂN HÌNH</w:t>
      </w:r>
    </w:p>
    <w:bookmarkStart w:id="20" w:name="Xe8397d3c57d7466dc5cdf33105cff560c510b10"/>
    <w:p>
      <w:pPr>
        <w:pStyle w:val="Heading3"/>
      </w:pPr>
      <w:r>
        <w:t xml:space="preserve">5.1 Singapore (Advanced đổi mới sáng tạo dẫn dắt — innovation-driven, n=623, đợt 2023)</w:t>
      </w:r>
    </w:p>
    <w:p>
      <w:pPr>
        <w:pStyle w:val="FirstParagraph"/>
      </w:pPr>
      <w:r>
        <w:t xml:space="preserve">FSTS 7,1%; doanh nghiệp xuất khẩu 17,8%; website 66,1%; ISO 23,3%; R&amp;D 7,5%; FDI 31,5%. Độ lệch chuẩn log năng suất (sd log) là 1,03. Đây là</w:t>
      </w:r>
      <w:r>
        <w:t xml:space="preserve"> </w:t>
      </w:r>
      <w:r>
        <w:rPr>
          <w:bCs/>
          <w:b/>
        </w:rPr>
        <w:t xml:space="preserve">biên trên (upper boundary)</w:t>
      </w:r>
      <w:r>
        <w:t xml:space="preserve"> </w:t>
      </w:r>
      <w:r>
        <w:t xml:space="preserve">của nhóm Advanced đổi mới sáng tạo dẫn dắt. Theo bài báo phân tích Singapore (Singapore, MIR), mô hình M8 cho R² hiệu chỉnh bằng 0,196, tương tác FSTS² × DAI bằng 3,119, với điểm uốn (turning point) ở mức khoảng 85%.</w:t>
      </w:r>
    </w:p>
    <w:bookmarkEnd w:id="20"/>
    <w:bookmarkStart w:id="21" w:name="Xcd9fa829f006cba94cdb0b83c4ae7c647970610"/>
    <w:p>
      <w:pPr>
        <w:pStyle w:val="Heading3"/>
      </w:pPr>
      <w:r>
        <w:t xml:space="preserve">5.2 Saudi Arabia, Qatar và Kuwait (Advanced tài nguyên dẫn dắt — resource-driven, n=1.632, 3 đợt năm 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 đặc trưng</w:t>
      </w:r>
      <w:r>
        <w:t xml:space="preserve"> </w:t>
      </w:r>
      <w:r>
        <w:rPr>
          <w:bCs/>
          <w:b/>
        </w:rPr>
        <w:t xml:space="preserve">nhà nước tô (rentier state)</w:t>
      </w:r>
      <w:r>
        <w:t xml:space="preserve"> </w:t>
      </w:r>
      <w:r>
        <w:t xml:space="preserve">theo Beblawi (1987), Hertog (2010), Hvidt (2013);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(sub-grouping) Advanced</w:t>
      </w:r>
      <w:r>
        <w:t xml:space="preserve">, trong đó innovation-driven so với resource-driven là một dạng biến thể chế kiểu Varieties of Capitalism (Hall &amp; Soskice, 2001).</w:t>
      </w:r>
      <w:r>
        <w:t xml:space="preserve"> </w:t>
      </w:r>
      <w:r>
        <w:rPr>
          <w:bCs/>
          <w:b/>
        </w:rPr>
        <w:t xml:space="preserve">Bối cảnh xung đột Trung Đông 2026</w:t>
      </w:r>
      <w:r>
        <w:t xml:space="preserve">: IMF (2026, April) hạ mạnh dự báo tăng trưởng Saudi Arabia từ khoảng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dự báo Pacific 3,4%, Đông Nam Á 4,7% và Việt Nam 7,0%, qua đó củng cố luận điểm về dị biệt giữa Advanced innovation và resource.</w:t>
      </w:r>
    </w:p>
    <w:bookmarkEnd w:id="21"/>
    <w:bookmarkStart w:id="22" w:name="X6e6ea2cbb7d2ea6293626066fb44a7d7b15d0b7"/>
    <w:p>
      <w:pPr>
        <w:pStyle w:val="Heading3"/>
      </w:pPr>
      <w:r>
        <w:t xml:space="preserve">5.3 Việt Nam (n=3.077, 3 đợt khảo sát) — cập nhật với ADB Vietnam Outlook 2026</w:t>
      </w:r>
    </w:p>
    <w:p>
      <w:pPr>
        <w:pStyle w:val="BlockText"/>
      </w:pPr>
      <w:r>
        <w:rPr>
          <w:bCs/>
          <w:b/>
        </w:rPr>
        <w:t xml:space="preserve">Ghi chú đối chiếu cỡ mẫu (n)</w:t>
      </w:r>
      <w:r>
        <w:t xml:space="preserve">: Việt Nam có</w:t>
      </w:r>
      <w:r>
        <w:t xml:space="preserve"> </w:t>
      </w:r>
      <w:r>
        <w:rPr>
          <w:bCs/>
          <w:b/>
        </w:rPr>
        <w:t xml:space="preserve">n=3.077 doanh nghiệp</w:t>
      </w:r>
      <w:r>
        <w:t xml:space="preserve"> </w:t>
      </w:r>
      <w:r>
        <w:t xml:space="preserve">tổng cộng trong nhóm dữ liệu WBES (toàn bộ doanh nghiệp Việt Nam trong pool), trong khi</w:t>
      </w:r>
      <w:r>
        <w:t xml:space="preserve"> </w:t>
      </w:r>
      <w:r>
        <w:rPr>
          <w:bCs/>
          <w:b/>
        </w:rPr>
        <w:t xml:space="preserve">n=2.958 doanh nghiệp</w:t>
      </w:r>
      <w:r>
        <w:t xml:space="preserve"> </w:t>
      </w:r>
      <w:r>
        <w:t xml:space="preserve">là mẫu phụ đủ biến cho phân tích hồi quy (complete-case sample: sau khi loại các quan sát thiếu dữ liệu log năng suất, FSTS, TCI hoặc DAI). Chênh lệch 119 doanh nghiệp (3,9% mẫu) phản ánh dữ liệu khuyết (missing data) ở một số biến giải thích, không phải sai lệch số liệu. Các thống kê mô tả cấp quốc gia trong Mục 5.3 và Bảng 5.1 dùng n=3.077; các hệ số hồi quy và đối chiếu CDCM (Bảng 6.1.2, file 15 §4.4.5.1) dùng n=2.958.</w:t>
      </w:r>
    </w:p>
    <w:p>
      <w:pPr>
        <w:pStyle w:val="FirstParagraph"/>
      </w:pPr>
      <w:r>
        <w:t xml:space="preserve">FSTS suy giảm dần qua các đợt, từ 23,2% còn 17,9% rồi 16,1%; doanh nghiệp xuất khẩu giảm từ 37,1% xuống 23,8%; ISO 17–23%; R&amp;D 6,1% (đợt 2023). Đây là pattern</w:t>
      </w:r>
      <w:r>
        <w:t xml:space="preserve"> </w:t>
      </w:r>
      <w:r>
        <w:rPr>
          <w:bCs/>
          <w:b/>
        </w:rPr>
        <w:t xml:space="preserve">kinh tế hai tầng (two-tier economy)</w:t>
      </w:r>
      <w:r>
        <w:t xml:space="preserve">, nơi doanh nghiệp FDI hướng xuất khẩu hiệu quả cao đan xen với doanh nghiệp nội địa năng suất thấp (CIEM, 2023; Tran &amp; Pham, 2024).</w:t>
      </w:r>
    </w:p>
    <w:p>
      <w:pPr>
        <w:pStyle w:val="BodyText"/>
      </w:pPr>
      <w:r>
        <w:rPr>
          <w:bCs/>
          <w:b/>
        </w:rPr>
        <w:t xml:space="preserve">Cập nhật bối cảnh 2026: ADB Vietnam Economic Outlook 2026</w:t>
      </w:r>
      <w:r>
        <w:t xml:space="preserve">: Theo ADB (2026, April,</w:t>
      </w:r>
      <w:r>
        <w:t xml:space="preserve"> </w:t>
      </w:r>
      <w:r>
        <w:rPr>
          <w:iCs/>
          <w:i/>
        </w:rPr>
        <w:t xml:space="preserve">Vietnam Economic Outlook 2026: Navigating the Crosscurrents</w:t>
      </w:r>
      <w:r>
        <w:t xml:space="preserve">), Việt Nam ghi nhận</w:t>
      </w:r>
      <w:r>
        <w:t xml:space="preserve"> </w:t>
      </w:r>
      <w:r>
        <w:rPr>
          <w:bCs/>
          <w:b/>
        </w:rPr>
        <w:t xml:space="preserve">GDP lịch sử 2025 đạt 8,0%</w:t>
      </w:r>
      <w:r>
        <w:t xml:space="preserve">, cao nhất khu vực Đông Nam Á, và dự phóng</w:t>
      </w:r>
      <w:r>
        <w:t xml:space="preserve"> </w:t>
      </w:r>
      <w:r>
        <w:rPr>
          <w:bCs/>
          <w:b/>
        </w:rPr>
        <w:t xml:space="preserve">7,2% (2026), 7,0% (2027)</w:t>
      </w:r>
      <w:r>
        <w:t xml:space="preserve">, vượt mức bình quân ASEAN 4,6% và Đông Nam Á 4,7%. Bốn động lực chính gồm: (a) FDI commitment $2,4 tỷ qua 18 dự án chiến lược; (b) năng suất lao động tăng 5,1% giai đoạn 2026-2027; (c) kinh tế hai tầng tiếp tục phân kỳ, cùng ADB Policy-Based Loans $2,4B hướng vào SME nội địa; (d) GVC re-positioning chuyển từ assembly downstream sang mid-stream design/R&amp;D theo 3 trụ cột</w:t>
      </w:r>
      <w:r>
        <w:t xml:space="preserve"> </w:t>
      </w:r>
      <w:r>
        <w:t xml:space="preserve">“</w:t>
      </w:r>
      <w:r>
        <w:t xml:space="preserve">Resilience + Environmental Sustainability + Inclusiveness</w:t>
      </w:r>
      <w:r>
        <w:t xml:space="preserve">”</w:t>
      </w:r>
      <w:r>
        <w:t xml:space="preserve">.</w:t>
      </w:r>
    </w:p>
    <w:p>
      <w:pPr>
        <w:pStyle w:val="BodyText"/>
      </w:pPr>
      <w:r>
        <w:rPr>
          <w:bCs/>
          <w:b/>
        </w:rPr>
        <w:t xml:space="preserve">Cập nhật macro deep: 4 mảng bổ sung</w:t>
      </w:r>
      <w:r>
        <w:t xml:space="preserve">:</w:t>
      </w:r>
    </w:p>
    <w:p>
      <w:pPr>
        <w:numPr>
          <w:ilvl w:val="0"/>
          <w:numId w:val="1001"/>
        </w:numPr>
      </w:pPr>
      <w:r>
        <w:rPr>
          <w:bCs/>
          <w:b/>
        </w:rPr>
        <w:t xml:space="preserve">Lạm phát</w:t>
      </w:r>
      <w:r>
        <w:t xml:space="preserve">: ADB dự báo</w:t>
      </w:r>
      <w:r>
        <w:t xml:space="preserve"> </w:t>
      </w:r>
      <w:r>
        <w:rPr>
          <w:bCs/>
          <w:b/>
        </w:rPr>
        <w:t xml:space="preserve">4,0% (2026), 3,8% (2027)</w:t>
      </w:r>
      <w:r>
        <w:t xml:space="preserve">, nằm trong vùng mục tiêu của Ngân hàng Nhà nước (không quá 4,5%). Áp lực đến từ giá năng lượng, xung đột Trung Đông kéo dài và đứt gãy chuỗi cung ứng vận tải biển. Việc kiểm soát được lạm phát tạo dư địa cho chính sách tiền tệ nới lỏng.</w:t>
      </w:r>
    </w:p>
    <w:p>
      <w:pPr>
        <w:numPr>
          <w:ilvl w:val="0"/>
          <w:numId w:val="1001"/>
        </w:numPr>
      </w:pPr>
      <w:r>
        <w:rPr>
          <w:bCs/>
          <w:b/>
        </w:rPr>
        <w:t xml:space="preserve">Cấu trúc ngành</w:t>
      </w:r>
      <w:r>
        <w:t xml:space="preserve"> </w:t>
      </w:r>
      <w:r>
        <w:t xml:space="preserve">(theo đóng góp tăng trưởng 2026):</w:t>
      </w:r>
      <w:r>
        <w:t xml:space="preserve"> </w:t>
      </w:r>
      <w:r>
        <w:rPr>
          <w:bCs/>
          <w:b/>
        </w:rPr>
        <w:t xml:space="preserve">công nghiệp và xây dựng 7,7%</w:t>
      </w:r>
      <w:r>
        <w:t xml:space="preserve"> </w:t>
      </w:r>
      <w:r>
        <w:t xml:space="preserve">(FDI manufacturing cộng smart manufacturing);</w:t>
      </w:r>
      <w:r>
        <w:t xml:space="preserve"> </w:t>
      </w:r>
      <w:r>
        <w:rPr>
          <w:bCs/>
          <w:b/>
        </w:rPr>
        <w:t xml:space="preserve">dịch vụ 7,5%</w:t>
      </w:r>
      <w:r>
        <w:t xml:space="preserve"> </w:t>
      </w:r>
      <w:r>
        <w:t xml:space="preserve">(du lịch phục hồi sau COVID, retail e-commerce, fintech);</w:t>
      </w:r>
      <w:r>
        <w:t xml:space="preserve"> </w:t>
      </w:r>
      <w:r>
        <w:rPr>
          <w:bCs/>
          <w:b/>
        </w:rPr>
        <w:t xml:space="preserve">nông nghiệp 3,6%</w:t>
      </w:r>
      <w:r>
        <w:t xml:space="preserve"> </w:t>
      </w:r>
      <w:r>
        <w:t xml:space="preserve">(climate-resilient agriculture, công nghệ cao). Cơ cấu này phản ánh sự chuyển dịch tiếp tục từ nông nghiệp sang công nghiệp rồi sang dịch vụ chất lượng cao.</w:t>
      </w:r>
    </w:p>
    <w:p>
      <w:pPr>
        <w:numPr>
          <w:ilvl w:val="0"/>
          <w:numId w:val="1001"/>
        </w:numPr>
      </w:pPr>
      <w:r>
        <w:rPr>
          <w:bCs/>
          <w:b/>
        </w:rPr>
        <w:t xml:space="preserve">Bốn trụ cột tăng trưởng</w:t>
      </w:r>
      <w:r>
        <w:t xml:space="preserve">: (a)</w:t>
      </w:r>
      <w:r>
        <w:t xml:space="preserve"> </w:t>
      </w:r>
      <w:r>
        <w:rPr>
          <w:bCs/>
          <w:b/>
        </w:rPr>
        <w:t xml:space="preserve">đầu tư công</w:t>
      </w:r>
      <w:r>
        <w:t xml:space="preserve"> </w:t>
      </w:r>
      <w:r>
        <w:t xml:space="preserve">với gói 800.000 tỷ VND giải ngân ưu tiên cho hạ tầng giao thông, năng lượng sạch và chuyển đổi số chính phủ; (b)</w:t>
      </w:r>
      <w:r>
        <w:t xml:space="preserve"> </w:t>
      </w:r>
      <w:r>
        <w:rPr>
          <w:bCs/>
          <w:b/>
        </w:rPr>
        <w:t xml:space="preserve">chính sách tiền tệ nới lỏng</w:t>
      </w:r>
      <w:r>
        <w:t xml:space="preserve">, khi Ngân hàng Nhà nước duy trì lãi suất tái cấp vốn thấp và mở rộng tín dụng có chọn lọc cho SME cùng manufacturing; (c)</w:t>
      </w:r>
      <w:r>
        <w:t xml:space="preserve"> </w:t>
      </w:r>
      <w:r>
        <w:rPr>
          <w:bCs/>
          <w:b/>
        </w:rPr>
        <w:t xml:space="preserve">FDI inflows</w:t>
      </w:r>
      <w:r>
        <w:t xml:space="preserve"> </w:t>
      </w:r>
      <w:r>
        <w:t xml:space="preserve">với $2,4 tỷ commitment qua 18 dự án chiến lược (fintech, năng lượng sạch, logistics, semiconductor packaging); (d)</w:t>
      </w:r>
      <w:r>
        <w:t xml:space="preserve"> </w:t>
      </w:r>
      <w:r>
        <w:rPr>
          <w:bCs/>
          <w:b/>
        </w:rPr>
        <w:t xml:space="preserve">xuất khẩu</w:t>
      </w:r>
      <w:r>
        <w:t xml:space="preserve">, duy trì hơn 30% kim ngạch sang Mỹ (đối tác lớn nhất) đồng thời đa dạng hóa qua CPTPP, RCEP và ACFTA.</w:t>
      </w:r>
    </w:p>
    <w:p>
      <w:pPr>
        <w:numPr>
          <w:ilvl w:val="0"/>
          <w:numId w:val="1001"/>
        </w:numPr>
      </w:pPr>
      <w:r>
        <w:rPr>
          <w:bCs/>
          <w:b/>
        </w:rPr>
        <w:t xml:space="preserve">Năm rủi ro chính</w:t>
      </w:r>
      <w:r>
        <w:t xml:space="preserve">: (a)</w:t>
      </w:r>
      <w:r>
        <w:t xml:space="preserve"> </w:t>
      </w:r>
      <w:r>
        <w:rPr>
          <w:bCs/>
          <w:b/>
        </w:rPr>
        <w:t xml:space="preserve">gián đoạn chuỗi cung ứng toàn cầu</w:t>
      </w:r>
      <w:r>
        <w:t xml:space="preserve"> </w:t>
      </w:r>
      <w:r>
        <w:t xml:space="preserve">do Trung Đông, chip shortage và vận tải biển; (b)</w:t>
      </w:r>
      <w:r>
        <w:t xml:space="preserve"> </w:t>
      </w:r>
      <w:r>
        <w:rPr>
          <w:bCs/>
          <w:b/>
        </w:rPr>
        <w:t xml:space="preserve">chính sách thuế quan Mỹ 2026</w:t>
      </w:r>
      <w:r>
        <w:t xml:space="preserve">, với thuế 10% tạm thời và nguy cơ tăng lên 15% (xem Lớp 7 ở Mục 1.1 file 14); (c)</w:t>
      </w:r>
      <w:r>
        <w:t xml:space="preserve"> </w:t>
      </w:r>
      <w:r>
        <w:rPr>
          <w:bCs/>
          <w:b/>
        </w:rPr>
        <w:t xml:space="preserve">thanh khoản nội địa</w:t>
      </w:r>
      <w:r>
        <w:t xml:space="preserve">, khi tỷ lệ nợ doanh nghiệp trên GDP cao (khoảng 120%); (d)</w:t>
      </w:r>
      <w:r>
        <w:t xml:space="preserve"> </w:t>
      </w:r>
      <w:r>
        <w:rPr>
          <w:bCs/>
          <w:b/>
        </w:rPr>
        <w:t xml:space="preserve">nợ xấu hệ thống ngân hàng</w:t>
      </w:r>
      <w:r>
        <w:t xml:space="preserve">, đặc biệt từ bất động sản; (e)</w:t>
      </w:r>
      <w:r>
        <w:t xml:space="preserve"> </w:t>
      </w:r>
      <w:r>
        <w:rPr>
          <w:bCs/>
          <w:b/>
        </w:rPr>
        <w:t xml:space="preserve">trái phiếu doanh nghiệp yếu</w:t>
      </w:r>
      <w:r>
        <w:t xml:space="preserve"> </w:t>
      </w:r>
      <w:r>
        <w:t xml:space="preserve">sau khủng hoảng Tân Hoàng Minh và Vạn Thịnh Phát 2022-2024, đòi hỏi củng cố niềm tin nhà đầu tư trái phiếu trong nước.</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Vietnam_HighValue_FDI_2026</w:t>
      </w:r>
      <w:r>
        <w:t xml:space="preserve"> </w:t>
      </w:r>
      <w:r>
        <w:t xml:space="preserve">để đo bước chuyển từ assembly sang higher-value của FDI manufacturing, dùng làm kiểm định cho</w:t>
      </w:r>
      <w:r>
        <w:t xml:space="preserve"> </w:t>
      </w:r>
      <w:r>
        <w:rPr>
          <w:bCs/>
          <w:b/>
        </w:rPr>
        <w:t xml:space="preserve">H7 về tương tác industry × institutional dynamism</w:t>
      </w:r>
      <w:r>
        <w:t xml:space="preserve"> </w:t>
      </w:r>
      <w:r>
        <w:t xml:space="preserve">(Kafouros et al., 2023). Bổ sung thêm</w:t>
      </w:r>
      <w:r>
        <w:t xml:space="preserve"> </w:t>
      </w:r>
      <w:r>
        <w:rPr>
          <w:bCs/>
          <w:b/>
        </w:rPr>
        <w:t xml:space="preserve">biến</w:t>
      </w:r>
      <w:r>
        <w:rPr>
          <w:bCs/>
          <w:b/>
        </w:rPr>
        <w:t xml:space="preserve"> </w:t>
      </w:r>
      <w:r>
        <w:rPr>
          <w:rStyle w:val="VerbatimChar"/>
          <w:bCs/>
          <w:b/>
        </w:rPr>
        <w:t xml:space="preserve">Vietnam_Sector_Mix_2026</w:t>
      </w:r>
      <w:r>
        <w:t xml:space="preserve"> </w:t>
      </w:r>
      <w:r>
        <w:t xml:space="preserve">(3 cấp: công nghiệp, dịch vụ, nông nghiệp) làm control variable trong robustness check #6 (sector composition adjustment).</w:t>
      </w:r>
    </w:p>
    <w:bookmarkEnd w:id="22"/>
    <w:bookmarkStart w:id="23" w:name="trung-quốc-n4.889"/>
    <w:p>
      <w:pPr>
        <w:pStyle w:val="Heading3"/>
      </w:pPr>
      <w:r>
        <w:t xml:space="preserve">5.4 Trung Quốc (n=4.889)</w:t>
      </w:r>
    </w:p>
    <w:p>
      <w:pPr>
        <w:pStyle w:val="FirstParagraph"/>
      </w:pPr>
      <w:r>
        <w:t xml:space="preserve">FSTS giảm từ 10,9% xuống 8,8%; FDI ≥10% chiếm 6,0%. Quan hệ giữa FSTS và năng suất có dạng đường cong bậc hai (inverted-U), với điểm uốn 49,4% (2012) và 47,2% (2024), bền vững theo kiểm định Paternoster. Wang, Huang và Hong (2024,</w:t>
      </w:r>
      <w:r>
        <w:t xml:space="preserve"> </w:t>
      </w:r>
      <w:r>
        <w:rPr>
          <w:iCs/>
          <w:i/>
        </w:rPr>
        <w:t xml:space="preserve">IRFA</w:t>
      </w:r>
      <w:r>
        <w:t xml:space="preserve">) cho thấy 80% bank risk models ở PRC phụ thuộc vào dominant tech providers, tạo nên</w:t>
      </w:r>
      <w:r>
        <w:t xml:space="preserve"> </w:t>
      </w:r>
      <w:r>
        <w:rPr>
          <w:bCs/>
          <w:b/>
        </w:rPr>
        <w:t xml:space="preserve">concentration risk</w:t>
      </w:r>
      <w:r>
        <w:t xml:space="preserve"> </w:t>
      </w:r>
      <w:r>
        <w:t xml:space="preserve">trong digital ecosystem của PRC.</w:t>
      </w:r>
    </w:p>
    <w:p>
      <w:pPr>
        <w:pStyle w:val="BodyText"/>
      </w:pPr>
      <w:r>
        <w:rPr>
          <w:bCs/>
          <w:b/>
        </w:rPr>
        <w:t xml:space="preserve">Khung Zombie firms PRC: lý giải bổ sung cho điểm uốn bậc hai (inverted-U) ~49%</w:t>
      </w:r>
      <w:r>
        <w:t xml:space="preserve">: Theo nghiên cứu của Caballero, Hoshi và Kashyap (2008,</w:t>
      </w:r>
      <w:r>
        <w:t xml:space="preserve"> </w:t>
      </w:r>
      <w:r>
        <w:rPr>
          <w:iCs/>
          <w:i/>
        </w:rPr>
        <w:t xml:space="preserve">American Economic Review</w:t>
      </w:r>
      <w:r>
        <w:t xml:space="preserve">) cùng ghi chú phân tích nội bộ của tác giả (2026), khái niệm</w:t>
      </w:r>
      <w:r>
        <w:t xml:space="preserve"> </w:t>
      </w:r>
      <w:r>
        <w:rPr>
          <w:bCs/>
          <w:b/>
        </w:rPr>
        <w:t xml:space="preserve">“</w:t>
      </w:r>
      <w:r>
        <w:rPr>
          <w:bCs/>
          <w:b/>
        </w:rPr>
        <w:t xml:space="preserve">doanh nghiệp xác sống</w:t>
      </w:r>
      <w:r>
        <w:rPr>
          <w:bCs/>
          <w:b/>
        </w:rPr>
        <w:t xml:space="preserve">”</w:t>
      </w:r>
      <w:r>
        <w:rPr>
          <w:bCs/>
          <w:b/>
        </w:rPr>
        <w:t xml:space="preserve"> </w:t>
      </w:r>
      <w:r>
        <w:rPr>
          <w:bCs/>
          <w:b/>
        </w:rPr>
        <w:t xml:space="preserve">(zombie firms)</w:t>
      </w:r>
      <w:r>
        <w:t xml:space="preserve"> </w:t>
      </w:r>
      <w:r>
        <w:t xml:space="preserve">chỉ những doanh nghiệp tồn tại nhờ tín dụng ưu đãi hoặc trợ cấp ngầm, không tạo lợi nhuận thực + không khấu hao bình thường. Trong bối cảnh PRC sau 2015 (chiến dịch khử rủi ro tài chính + supply-side structural reform), tỷ lệ zombie firms ở các SOE + ngành thừa năng lực sản xuất (steel, coal, real estate, shipbuilding) vẫn cao bất chấp các đợt thắt chặt.</w:t>
      </w:r>
    </w:p>
    <w:p>
      <w:pPr>
        <w:pStyle w:val="BodyText"/>
      </w:pPr>
      <w:r>
        <w:rPr>
          <w:bCs/>
          <w:b/>
        </w:rPr>
        <w:t xml:space="preserve">Ba cơ chế zombie firms làm méo TFP tổng thể PRC</w:t>
      </w:r>
      <w:r>
        <w:t xml:space="preserve">:</w:t>
      </w:r>
    </w:p>
    <w:p>
      <w:pPr>
        <w:numPr>
          <w:ilvl w:val="0"/>
          <w:numId w:val="1002"/>
        </w:numPr>
      </w:pPr>
      <w:r>
        <w:rPr>
          <w:bCs/>
          <w:b/>
        </w:rPr>
        <w:t xml:space="preserve">Chậm đào thải</w:t>
      </w:r>
      <w:r>
        <w:t xml:space="preserve"> </w:t>
      </w:r>
      <w:r>
        <w:t xml:space="preserve">(slow exit): doanh nghiệp xác sống không phá sản nên vẫn chiếm dụng vốn vay ngân hàng, đất đai và lao động, qua đó kéo dài chu kỳ phân bổ sai nguồn lực (kênh Hsieh &amp; Klenow, 2009). Trong WBES PRC pool, một số firm zombie có FSTS cao do cố xuất khẩu để duy trì doanh thu nhưng năng suất thực lại thấp, góp phần kéo điểm uốn bậc hai về phía khoảng 49%.</w:t>
      </w:r>
    </w:p>
    <w:p>
      <w:pPr>
        <w:numPr>
          <w:ilvl w:val="0"/>
          <w:numId w:val="1002"/>
        </w:numPr>
      </w:pPr>
      <w:r>
        <w:rPr>
          <w:bCs/>
          <w:b/>
        </w:rPr>
        <w:t xml:space="preserve">Cản trở entry</w:t>
      </w:r>
      <w:r>
        <w:t xml:space="preserve"> </w:t>
      </w:r>
      <w:r>
        <w:t xml:space="preserve">(entry barrier): SME mới không thể chiếm thị phần vì zombie firms vẫn occupy thị trường nội địa với giá dumping. Điều này liên kết với Emerging Asia ở Mục 5.5: Việt Nam, Indonesia và India tránh được zombie effect nhờ market discipline mạnh hơn, nhờ đó entry rate cao và creative destruction (Schumpeter, 1942) hoạt động tốt hơn.</w:t>
      </w:r>
    </w:p>
    <w:p>
      <w:pPr>
        <w:numPr>
          <w:ilvl w:val="0"/>
          <w:numId w:val="1002"/>
        </w:numPr>
      </w:pPr>
      <w:r>
        <w:rPr>
          <w:bCs/>
          <w:b/>
        </w:rPr>
        <w:t xml:space="preserve">Concentration risk và zombie hybrid</w:t>
      </w:r>
      <w:r>
        <w:t xml:space="preserve">: phát hiện của Wang/Huang/Hong (2024) rằng 80% bank risk models của PRC phụ thuộc vào dominant tech providers, khi</w:t>
      </w:r>
      <w:r>
        <w:t xml:space="preserve"> </w:t>
      </w:r>
      <w:r>
        <w:rPr>
          <w:bCs/>
          <w:b/>
        </w:rPr>
        <w:t xml:space="preserve">kết hợp</w:t>
      </w:r>
      <w:r>
        <w:t xml:space="preserve"> </w:t>
      </w:r>
      <w:r>
        <w:t xml:space="preserve">với cấu trúc zombie firms, tạo ra rủi ro hệ thống: nếu fintech provider lock-in thất bại và zombie firms đồng loạt default cùng lúc thì có thể dẫn đến systemic banking crisis. Đây là rủi ro mới cho các doanh nghiệp xuất khẩu Việt Nam có liên hệ với Trung Quốc.</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Zombie_Firm_Indicator_PRC</w:t>
      </w:r>
      <w:r>
        <w:t xml:space="preserve"> </w:t>
      </w:r>
      <w:r>
        <w:t xml:space="preserve">(proxy: firm có ROA dưới 0 trong 3 năm liên tiếp kèm tăng nợ vay) để kiểm tra xem điểm uốn bậc hai khoảng 49% có dịch chuyển khi loại zombie firms khỏi PRC subsample hay không. Đây là robustness check #7 (zombie-excluded re-estimation), bổ sung sau các kiểm định Manufacturing-only, ICT-excluded, Tourism-separated SIDS, Construction-tested Gulf, Mining-excluded resource và Sector composition adjustment.</w:t>
      </w:r>
    </w:p>
    <w:bookmarkEnd w:id="23"/>
    <w:bookmarkStart w:id="24" w:name="X1f94acac25bed45da20cf53e9ab6edd651a0a2e"/>
    <w:p>
      <w:pPr>
        <w:pStyle w:val="Heading3"/>
      </w:pPr>
      <w:r>
        <w:t xml:space="preserve">5.5 Tổng hợp Emerging Asia (n=42.278) — bổ sung trường hợp Ấn Độ</w:t>
      </w:r>
    </w:p>
    <w:p>
      <w:pPr>
        <w:pStyle w:val="FirstParagraph"/>
      </w:pPr>
      <w:r>
        <w:t xml:space="preserve">FSTS 7,6%; FDI ≥10% chiếm 4,4%; tỷ lệ doanh nghiệp có R&amp;D dương là 16%. Phân tán nội bộ lớn (sd log 2,18), phản ánh dị biệt rộng xuyên 7 nước Emerging.</w:t>
      </w:r>
    </w:p>
    <w:p>
      <w:pPr>
        <w:pStyle w:val="BodyText"/>
      </w:pPr>
      <w:r>
        <w:rPr>
          <w:bCs/>
          <w:b/>
        </w:rPr>
        <w:t xml:space="preserve">Trường hợp Ấn Độ: chứng cứ lan tỏa công nghệ (technology spillovers)</w:t>
      </w:r>
      <w:r>
        <w:t xml:space="preserve">: Sikdar và Mukhopadhyay (2026,</w:t>
      </w:r>
      <w:r>
        <w:t xml:space="preserve"> </w:t>
      </w:r>
      <w:r>
        <w:rPr>
          <w:iCs/>
          <w:i/>
        </w:rPr>
        <w:t xml:space="preserve">Asian Development Review, 43</w:t>
      </w:r>
      <w:r>
        <w:t xml:space="preserve">(1), pp.37-75) thực hiện nghiên cứu panel trên</w:t>
      </w:r>
      <w:r>
        <w:t xml:space="preserve"> </w:t>
      </w:r>
      <w:r>
        <w:rPr>
          <w:bCs/>
          <w:b/>
        </w:rPr>
        <w:t xml:space="preserve">4.293 doanh nghiệp Ấn Độ giai đoạn 2006-2019</w:t>
      </w:r>
      <w:r>
        <w:t xml:space="preserve">. Nghiên cứu này phát hiện rằng FDI là kênh</w:t>
      </w:r>
      <w:r>
        <w:t xml:space="preserve"> </w:t>
      </w:r>
      <w:r>
        <w:rPr>
          <w:bCs/>
          <w:b/>
        </w:rPr>
        <w:t xml:space="preserve">lan tỏa ngang (horizontal spillover)</w:t>
      </w:r>
      <w:r>
        <w:t xml:space="preserve"> </w:t>
      </w:r>
      <w:r>
        <w:t xml:space="preserve">quan trọng nhất; doanh nghiệp lớn và hiệu quả cao thu nhận lan tỏa (capture spillovers) nhiều nhất;</w:t>
      </w:r>
      <w:r>
        <w:t xml:space="preserve"> </w:t>
      </w:r>
      <w:r>
        <w:rPr>
          <w:bCs/>
          <w:b/>
        </w:rPr>
        <w:t xml:space="preserve">dòng vốn FDI vào (FDI inflows)</w:t>
      </w:r>
      <w:r>
        <w:t xml:space="preserve"> </w:t>
      </w:r>
      <w:r>
        <w:t xml:space="preserve">tăng từ $1,705M (1990-2000) lên $42,396M (2012-2022); chi tiêu R&amp;D trì trệ ở mức 0,7% GDP; và</w:t>
      </w:r>
      <w:r>
        <w:t xml:space="preserve"> </w:t>
      </w:r>
      <w:r>
        <w:rPr>
          <w:bCs/>
          <w:b/>
        </w:rPr>
        <w:t xml:space="preserve">đơn đăng ký sáng chế của cư dân (resident patent filing)</w:t>
      </w:r>
      <w:r>
        <w:t xml:space="preserve"> </w:t>
      </w:r>
      <w:r>
        <w:t xml:space="preserve">tăng +11,9% mỗi năm trong 2012-2022.</w:t>
      </w:r>
    </w:p>
    <w:bookmarkEnd w:id="24"/>
    <w:bookmarkStart w:id="25" w:name="X7d16e64d9573be7621d2bb233de576b8fd08afb"/>
    <w:p>
      <w:pPr>
        <w:pStyle w:val="Heading3"/>
      </w:pPr>
      <w:r>
        <w:t xml:space="preserve">5.6 Mongolia — từ lời nguyền tài nguyên đến chuyển đổi critical minerals (n=1.905, 4 đợt 2009–2025)</w:t>
      </w:r>
    </w:p>
    <w:p>
      <w:pPr>
        <w:pStyle w:val="FirstParagraph"/>
      </w:pPr>
      <w:r>
        <w:t xml:space="preserve">FSTS đình trệ ở mức 4-6%; FDI ≥10% giảm rõ từ</w:t>
      </w:r>
      <w:r>
        <w:t xml:space="preserve"> </w:t>
      </w:r>
      <w:r>
        <w:rPr>
          <w:bCs/>
          <w:b/>
        </w:rPr>
        <w:t xml:space="preserve">7,2% xuống 3,2%</w:t>
      </w:r>
      <w:r>
        <w:t xml:space="preserve">; tỷ lệ website tăng từ 39% lên 65%. Đây là pattern</w:t>
      </w:r>
      <w:r>
        <w:t xml:space="preserve"> </w:t>
      </w:r>
      <w:r>
        <w:rPr>
          <w:bCs/>
          <w:b/>
        </w:rPr>
        <w:t xml:space="preserve">lời nguyền tài nguyên</w:t>
      </w:r>
      <w:r>
        <w:t xml:space="preserve"> </w:t>
      </w:r>
      <w:r>
        <w:t xml:space="preserve">(Auty, 1993; Sachs &amp; Warner, 2001).</w:t>
      </w:r>
    </w:p>
    <w:p>
      <w:pPr>
        <w:pStyle w:val="BodyText"/>
      </w:pPr>
      <w:r>
        <w:rPr>
          <w:bCs/>
          <w:b/>
        </w:rPr>
        <w:t xml:space="preserve">Bước ngoặt 2026: chuyển đổi critical minerals (ADB, 2026, May)</w:t>
      </w:r>
      <w:r>
        <w:t xml:space="preserve">: Mongolia nằm ở giao điểm chiến lược của</w:t>
      </w:r>
      <w:r>
        <w:t xml:space="preserve"> </w:t>
      </w:r>
      <w:r>
        <w:rPr>
          <w:bCs/>
          <w:b/>
        </w:rPr>
        <w:t xml:space="preserve">11 critical minerals</w:t>
      </w:r>
      <w:r>
        <w:t xml:space="preserve"> </w:t>
      </w:r>
      <w:r>
        <w:t xml:space="preserve">(Cu, Li, Mo, Mn, Co, Ni, W, REE, v.v.). Cu exports đạt 1,69 Mt (2024), tương đương 22,1% tổng xuất khẩu. Oyu Tolgoi đặt mục tiêu 500.000 tấn mỗi năm trong 2028-2036. Trung Quốc giữ vị thế áp đảo về chế biến với 100% graphite, 90% Mn và 70% Co. CĐ2 sẽ bổ sung biến</w:t>
      </w:r>
      <w:r>
        <w:t xml:space="preserve"> </w:t>
      </w:r>
      <w:r>
        <w:rPr>
          <w:rStyle w:val="VerbatimChar"/>
        </w:rPr>
        <w:t xml:space="preserve">Critical_Minerals_Exposure</w:t>
      </w:r>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Hình 5.6.1, Mongolia: Evolution 2009–2025 (4 đợt khảo sát WBES)</w:t>
            </w:r>
          </w:p>
        </w:tc>
      </w:tr>
    </w:tbl>
    <w:p>
      <w:pPr>
        <w:pStyle w:val="ImageCaption"/>
      </w:pPr>
      <w:r>
        <w:t xml:space="preserve">Hình 5.6.1, Mongolia: Evolution 2009–2025 (4 đợt khảo sát WBES)</w:t>
      </w:r>
    </w:p>
    <w:bookmarkEnd w:id="25"/>
    <w:bookmarkStart w:id="27" w:name="sids-thái-bình-dương-7-nước-n1.371"/>
    <w:p>
      <w:pPr>
        <w:pStyle w:val="Heading3"/>
      </w:pPr>
      <w:r>
        <w:t xml:space="preserve">5.7 SIDS Thái Bình Dương (7 nước, n=1.371)</w:t>
      </w:r>
    </w:p>
    <w:p>
      <w:pPr>
        <w:pStyle w:val="FirstParagraph"/>
      </w:pPr>
      <w:r>
        <w:rPr>
          <w:bCs/>
          <w:b/>
        </w:rPr>
        <w:t xml:space="preserve">Bảy nước</w:t>
      </w:r>
      <w:r>
        <w:t xml:space="preserve">: Fiji (FJI), Papua New Guinea (PNG), Solomon Islands (SLB), Tonga (TON), Vanuatu (VUT), Samoa (WSM) và</w:t>
      </w:r>
      <w:r>
        <w:t xml:space="preserve"> </w:t>
      </w:r>
      <w:r>
        <w:rPr>
          <w:bCs/>
          <w:b/>
        </w:rPr>
        <w:t xml:space="preserve">Kiribati (KIR, bổ sung năm 2025)</w:t>
      </w:r>
      <w:r>
        <w:t xml:space="preserve">. Tổng n=1.371. FSTS 6,3%; FDI ≥10% đạt</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Đây là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trường hợp biên CỰC ĐOAN nhất</w:t>
      </w:r>
      <w:r>
        <w:t xml:space="preserve">: FSTS 1,03%, FDI 0,7%, website 18,7%, ISO 1,3%, sd log 1,48, SME 93,3%. GDP bình quân đầu người khoảng 1.700 USD, viện trợ AUS/NZ khoảng 30% GDP.</w:t>
      </w:r>
    </w:p>
    <w:bookmarkStart w:id="26" w:name="bối-cảnh-kinh-tế-vĩ-mô-pics-pacific"/>
    <w:p>
      <w:pPr>
        <w:pStyle w:val="Heading4"/>
      </w:pPr>
      <w:r>
        <w:t xml:space="preserve">5.7.5 Bối cảnh kinh tế vĩ mô PICs Pacific</w:t>
      </w:r>
    </w:p>
    <w:p>
      <w:pPr>
        <w:pStyle w:val="FirstParagraph"/>
      </w:pPr>
      <w:r>
        <w:t xml:space="preserve">PICs vận hành trên 4 trụ cột MIRAB (Bertram, 2006): (1) khu vực công chủ đạo (30-50% việc làm chính thức); (2) phụ thuộc 4 nguồn ngoại sinh là nông nghiệp tự cấp, ODA 30% GDP, remittances 25-40% GDP và khai thác tài nguyên; (3) thanh niên thất nghiệp 15-30%, dân số dưới 25 tuổi chiếm hơn 50%; (4) migration labor qua PLMS Australia và RSE New Zealand như kênh sinh tồn (Vanuatu RSE chiếm 15-20% GDP). Có thể liên kết các điểm sau: Fiji với website 74,8% vượt Singapore (nhờ PLMS và remittance corridors); Kiribati chỉ 18,7% (các outer island không có internet); và SIDS innovation 41,5% (bricolage theo Baker &amp; Nelson 2005). CĐ2 sẽ bổ sung 3 control variables đặc thù PICs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26"/>
    <w:bookmarkEnd w:id="27"/>
    <w:bookmarkStart w:id="28" w:name="so-sánh-tổng-hợp"/>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28"/>
    <w:bookmarkEnd w:id="29"/>
    <w:bookmarkStart w:id="33"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ở SIDS (+0,222); (2) FDI âm ở Advanced; (3) FSTS dương ở Advanced, phù hợp Uppsala và OLI; (4) TCI dương ở SIDS và Advanced; (5) DAI âm ở Advanced do Tier-1 saturation; (6) đảo dấu cross-regime, phản ánh institutional moderation.</w:t>
      </w:r>
    </w:p>
    <w:p>
      <w:pPr>
        <w:pStyle w:val="BodyText"/>
      </w:pPr>
      <w:r>
        <w:rPr>
          <w:bCs/>
          <w:b/>
        </w:rPr>
        <w:t xml:space="preserve">Cảnh báo schema BREADY 2025</w:t>
      </w:r>
      <w:r>
        <w:t xml:space="preserve">: bảng 6.1 có thể bị nhiễu schema effect, cần kiểm chứng qua hệ thống</w:t>
      </w:r>
      <w:r>
        <w:t xml:space="preserve"> </w:t>
      </w:r>
      <w:r>
        <w:t xml:space="preserve">“</w:t>
      </w:r>
      <w:r>
        <w:t xml:space="preserve">triple-defense</w:t>
      </w:r>
      <w:r>
        <w:t xml:space="preserve">”</w:t>
      </w:r>
      <w:r>
        <w:t xml:space="preserve"> </w:t>
      </w:r>
      <w:r>
        <w:t xml:space="preserve">ở Mục 4.11 file 15.</w:t>
      </w:r>
    </w:p>
    <w:p>
      <w:pPr>
        <w:pStyle w:val="BodyText"/>
      </w:pPr>
      <w:r>
        <w:rPr>
          <w:bCs/>
          <w:b/>
        </w:rPr>
        <w:t xml:space="preserve">Lý giải dị biệt cross-regime qua Xu (2024) de jure-de facto</w:t>
      </w:r>
      <w:r>
        <w:t xml:space="preserve">: khoảng cách giữa formal và enforcement giải thích cho việc FDI đảo dấu giữa Emerging và Advanced.</w:t>
      </w:r>
    </w:p>
    <w:p>
      <w:pPr>
        <w:pStyle w:val="BodyText"/>
      </w:pPr>
      <w:r>
        <w:rPr>
          <w:bCs/>
          <w:b/>
        </w:rPr>
        <w:t xml:space="preserve">Lý giải bổ sung: Institutional Transaction Costs xuyên quốc gia (khung TCE Coase-Williamson, mở rộng từ Banalieva &amp; Dhanaraj 2019)</w:t>
      </w:r>
      <w:r>
        <w:t xml:space="preserve">: Việc đối chiếu phân tích Singapore và phân tích Việt Nam cho thấy dị biệt cross-regime trong Bảng 6.1 không chỉ phản ánh chất lượng thể chế formal mà còn phản ánh</w:t>
      </w:r>
      <w:r>
        <w:t xml:space="preserve"> </w:t>
      </w:r>
      <w:r>
        <w:rPr>
          <w:bCs/>
          <w:b/>
        </w:rPr>
        <w:t xml:space="preserve">chi phí giao dịch thể chế (institutional transaction costs)</w:t>
      </w:r>
      <w:r>
        <w:t xml:space="preserve">, vốn đo lường hạ tầng thương mại, logistics và năng lực hấp thụ chi phí điều phối xuyên biên giới (cross-border coordination cost absorption). Khung CDCM (Mục 2.7 file 14) hợp nhất 3 chiều xuyên quốc gia như sau:</w:t>
      </w:r>
    </w:p>
    <w:p>
      <w:pPr>
        <w:pStyle w:val="BodyText"/>
      </w:pPr>
      <w:r>
        <w:rPr>
          <w:bCs/>
          <w:b/>
        </w:rPr>
        <w:t xml:space="preserve">Bảng 6.1.2</w:t>
      </w:r>
      <w:r>
        <w:t xml:space="preserve">.</w:t>
      </w:r>
      <w:r>
        <w:t xml:space="preserve"> </w:t>
      </w:r>
      <w:r>
        <w:rPr>
          <w:iCs/>
          <w:i/>
        </w:rPr>
        <w:t xml:space="preserve">Đối chiếu I-P curve + cơ chế DAI/TCI giữa Việt Nam vs Singapore, bằng chứng cho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điểm uốn (TP) ≈ 39-46% FSTS xuyên 3 wave 2009-2023; Lind-Mehlum p&lt;0,013</w:t>
            </w:r>
          </w:p>
        </w:tc>
        <w:tc>
          <w:tcPr/>
          <w:p>
            <w:pPr>
              <w:pStyle w:val="Compact"/>
              <w:jc w:val="left"/>
            </w:pPr>
            <w:r>
              <w:rPr>
                <w:bCs/>
                <w:b/>
              </w:rPr>
              <w:t xml:space="preserve">Tuyến tính dương + bậc hai nhẹ</w:t>
            </w:r>
            <w:r>
              <w:t xml:space="preserve"> </w:t>
            </w:r>
            <w:r>
              <w:t xml:space="preserve">— TP ≈ 82% FSTS (vùng dữ liệu thưa, 3,2% firms vượt 70%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 website only): mạnh 2009, null 2015, âm 2023 (β=-0,912, p=,043) ở DAI×FSTS, trở thành</w:t>
            </w:r>
            <w:r>
              <w:t xml:space="preserve"> </w:t>
            </w:r>
            <w:r>
              <w:rPr>
                <w:bCs/>
                <w:b/>
              </w:rPr>
              <w:t xml:space="preserve">điểm nghẽn ở xuất khẩu cao</w:t>
            </w:r>
          </w:p>
        </w:tc>
        <w:tc>
          <w:tcPr/>
          <w:p>
            <w:pPr>
              <w:pStyle w:val="Compact"/>
              <w:jc w:val="left"/>
            </w:pPr>
            <w:r>
              <w:rPr>
                <w:bCs/>
                <w:b/>
              </w:rPr>
              <w:t xml:space="preserve">Conditional scaling</w:t>
            </w:r>
            <w:r>
              <w:t xml:space="preserve"> </w:t>
            </w:r>
            <w:r>
              <w:t xml:space="preserve">(Tier 1+2 = website + e-payment): DAI×FSTS² β=3,119 p=,005 dương mạnh, trở thành</w:t>
            </w:r>
            <w:r>
              <w:t xml:space="preserve"> </w:t>
            </w:r>
            <w:r>
              <w:rPr>
                <w:bCs/>
                <w:b/>
              </w:rPr>
              <w:t xml:space="preserve">đòn bẩy ở xuất khẩu cao</w:t>
            </w:r>
          </w:p>
        </w:tc>
      </w:tr>
      <w:tr>
        <w:tc>
          <w:tcPr/>
          <w:p>
            <w:pPr>
              <w:pStyle w:val="Compact"/>
              <w:jc w:val="left"/>
            </w:pPr>
            <w:r>
              <w:rPr>
                <w:bCs/>
                <w:b/>
              </w:rPr>
              <w:t xml:space="preserve">2SLS DAI robustness</w:t>
            </w:r>
          </w:p>
        </w:tc>
        <w:tc>
          <w:tcPr/>
          <w:p>
            <w:pPr>
              <w:pStyle w:val="Compact"/>
              <w:jc w:val="left"/>
            </w:pPr>
            <w:r>
              <w:t xml:space="preserve">β co về 0,02, p=,94, tức</w:t>
            </w:r>
            <w:r>
              <w:t xml:space="preserve"> </w:t>
            </w:r>
            <w:r>
              <w:rPr>
                <w:bCs/>
                <w:b/>
              </w:rPr>
              <w:t xml:space="preserve">không xác lập nhân quả</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 2SLS; điều tiết làm phẳng I-P curve (3/4 mô hình significant)</w:t>
            </w:r>
          </w:p>
        </w:tc>
        <w:tc>
          <w:tcPr/>
          <w:p>
            <w:pPr>
              <w:pStyle w:val="Compact"/>
              <w:jc w:val="left"/>
            </w:pPr>
            <w:r>
              <w:rPr>
                <w:bCs/>
                <w:b/>
              </w:rPr>
              <w:t xml:space="preserve">Hygiene factor</w:t>
            </w:r>
            <w:r>
              <w:t xml:space="preserve"> </w:t>
            </w:r>
            <w:r>
              <w:t xml:space="preserve">— direct β=0,168 p&lt;,001 nhưng KHÔNG điều tiết I-P curve significantly</w:t>
            </w:r>
          </w:p>
        </w:tc>
      </w:tr>
    </w:tbl>
    <w:p>
      <w:pPr>
        <w:pStyle w:val="BodyText"/>
      </w:pPr>
      <w:r>
        <w:rPr>
          <w:bCs/>
          <w:b/>
        </w:rPr>
        <w:t xml:space="preserve">Lý giải Institutional Transaction Costs (TCE)</w:t>
      </w:r>
      <w:r>
        <w:t xml:space="preserve">: Ở Việt Nam, hạ tầng thương mại số yếu (chỉ Tier 1) khiến chi phí điều phối xuyên biên giới (cross-border coordination cost) tăng vọt theo siêu tuyến tính (super-linearly, Brynjolfsson &amp; McAfee, 2014) ngay ở mức xuất khẩu trung bình, qua đó đẩy điểm uốn (TP) về vùng FSTS thấp 39-46%. Ở Singapore, hạ tầng số (Tier 1+2 gồm website, e-payment và integrated logistics) đã hấp thụ phần lớn chi phí này, đẩy ranh giới quá tải (overload boundary) về vùng FSTS cực cao khoảng 82%. Vì vậy,</w:t>
      </w:r>
      <w:r>
        <w:t xml:space="preserve"> </w:t>
      </w:r>
      <w:r>
        <w:rPr>
          <w:bCs/>
          <w:b/>
        </w:rPr>
        <w:t xml:space="preserve">bằng chứng</w:t>
      </w:r>
      <w:r>
        <w:rPr>
          <w:bCs/>
          <w:b/>
        </w:rPr>
        <w:t xml:space="preserve"> </w:t>
      </w:r>
      <w:r>
        <w:rPr>
          <w:bCs/>
          <w:b/>
        </w:rPr>
        <w:t xml:space="preserve">“</w:t>
      </w:r>
      <w:r>
        <w:rPr>
          <w:bCs/>
          <w:b/>
        </w:rPr>
        <w:t xml:space="preserve">đường cong U ngược nghẹt thở</w:t>
      </w:r>
      <w:r>
        <w:rPr>
          <w:bCs/>
          <w:b/>
        </w:rPr>
        <w:t xml:space="preserve">”</w:t>
      </w:r>
      <w:r>
        <w:rPr>
          <w:bCs/>
          <w:b/>
        </w:rPr>
        <w:t xml:space="preserve"> </w:t>
      </w:r>
      <w:r>
        <w:rPr>
          <w:bCs/>
          <w:b/>
        </w:rPr>
        <w:t xml:space="preserve">của Lu &amp; Beamish (2004) chỉ vận hành ở các nước có institutional transaction costs ở mức trung bình đến cao</w:t>
      </w:r>
      <w:r>
        <w:t xml:space="preserve">, nơi chi phí điều phối phi tuyến đủ lớn để tạo turnaround point trong vùng FSTS quan sát được; còn ở các nước có hạ tầng số trưởng thành, U-curve bị</w:t>
      </w:r>
      <w:r>
        <w:t xml:space="preserve"> </w:t>
      </w:r>
      <w:r>
        <w:t xml:space="preserve">“</w:t>
      </w:r>
      <w:r>
        <w:t xml:space="preserve">kéo dãn</w:t>
      </w:r>
      <w:r>
        <w:t xml:space="preserve">”</w:t>
      </w:r>
      <w:r>
        <w:t xml:space="preserve"> </w:t>
      </w:r>
      <w:r>
        <w:t xml:space="preserve">về phía cực đoan và có thể không quan sát được trong dữ liệu thực tế.</w:t>
      </w:r>
    </w:p>
    <w:p>
      <w:pPr>
        <w:pStyle w:val="BodyText"/>
      </w:pPr>
      <w:r>
        <w:rPr>
          <w:bCs/>
          <w:b/>
        </w:rPr>
        <w:t xml:space="preserve">Hàm ý cho khung CDCM (Context-Contingent Digital Capability Model)</w:t>
      </w:r>
      <w:r>
        <w:t xml:space="preserve">: Khung này đưa ra ba dự đoán cho CĐ2 và luận án 5 chương. Một là</w:t>
      </w:r>
      <w:r>
        <w:t xml:space="preserve"> </w:t>
      </w:r>
      <w:r>
        <w:rPr>
          <w:bCs/>
          <w:b/>
        </w:rPr>
        <w:t xml:space="preserve">41 nước châu Á</w:t>
      </w:r>
      <w:r>
        <w:t xml:space="preserve"> </w:t>
      </w:r>
      <w:r>
        <w:t xml:space="preserve">sẽ tạo thành một continuum institutional transaction costs, trải từ Singapore (cực thấp), qua Việt Nam và Indonesia (trung bình), đến Mongolia, Pakistan và Bangladesh (cao). Hai là điểm uốn TP của đường cong I-P sẽ tương quan ngược với mức trưởng thành hạ tầng số quốc gia (đo qua DAI Tier 1+2 trung bình quốc gia). Ba là vai trò của TCI sẽ chuyển từ scarce advantage (ở các nước transaction cost cao) sang hygiene factor (ở các nước transaction cost thấp), qua đó xác nhận giả thuyết H7 về tương tác industry × institutional dynamism của Kafouros et al. (2023). Đây là</w:t>
      </w:r>
      <w:r>
        <w:t xml:space="preserve"> </w:t>
      </w:r>
      <w:r>
        <w:rPr>
          <w:bCs/>
          <w:b/>
        </w:rPr>
        <w:t xml:space="preserve">đóng góp lý thuyết MỚI</w:t>
      </w:r>
      <w:r>
        <w:t xml:space="preserve"> </w:t>
      </w:r>
      <w:r>
        <w:t xml:space="preserve">cho luận án, tức việc lặp lại CDCM xuyên 41 nước châu Á.</w:t>
      </w:r>
    </w:p>
    <w:p>
      <w:pPr>
        <w:pStyle w:val="BodyText"/>
      </w:pPr>
      <w:r>
        <w:rPr>
          <w:bCs/>
          <w:b/>
        </w:rPr>
        <w:t xml:space="preserve">Tham chiếu</w:t>
      </w:r>
      <w:r>
        <w:t xml:space="preserve">: Coase (1937); Williamson (1985); Brynjolfsson &amp; McAfee (2014); Banalieva &amp; Dhanaraj (2019); Kafouros et al. (2023); Đỗ &amp; Phan (2026, phân tích Việt Nam,</w:t>
      </w:r>
      <w:r>
        <w:t xml:space="preserve"> </w:t>
      </w:r>
      <w:r>
        <w:rPr>
          <w:iCs/>
          <w:i/>
        </w:rPr>
        <w:t xml:space="preserve">APJM</w:t>
      </w:r>
      <w:r>
        <w:t xml:space="preserve">); Mục 2.7 file 14 (Khung 4-Tier Verhoef + CDCM).</w:t>
      </w:r>
    </w:p>
    <w:p>
      <w:pPr>
        <w:pStyle w:val="BodyText"/>
      </w:pPr>
      <w:r>
        <w:rPr>
          <w:bCs/>
          <w:b/>
        </w:rPr>
        <w:t xml:space="preserve">Hiệu ứng đẩy nhanh giao hàng và bất định chính sách thuế quan trong khung ICRV (front-loading effect và tariff uncertainty)</w:t>
      </w:r>
      <w:r>
        <w:t xml:space="preserve">: Theo ghi chú phân tích nội bộ của tác giả (2026), bất định chính sách thuế quan Mỹ 2026 (xem Lớp 7 ở Mục 1.1 file 14) tạo ra</w:t>
      </w:r>
      <w:r>
        <w:t xml:space="preserve"> </w:t>
      </w:r>
      <w:r>
        <w:rPr>
          <w:bCs/>
          <w:b/>
        </w:rPr>
        <w:t xml:space="preserve">hiệu ứng đẩy nhanh giao hàng (front-loading effect)</w:t>
      </w:r>
      <w:r>
        <w:t xml:space="preserve">, khi doanh nghiệp xuất khẩu Việt Nam đẩy nhanh giao hàng ngắn hạn nhằm tận dụng cửa sổ thuế thấp 10% trước khi mức thuế tăng lên 15% trong nửa cuối 2026. Hậu quả là doanh thu xuất khẩu tăng ngắn hạn trong 2025 (đóng góp vào GDP 8,0%) nhưng lại làm giảm đà tăng trưởng 2026-2027 do hợp đồng tương lai bị</w:t>
      </w:r>
      <w:r>
        <w:t xml:space="preserve"> </w:t>
      </w:r>
      <w:r>
        <w:t xml:space="preserve">“</w:t>
      </w:r>
      <w:r>
        <w:t xml:space="preserve">ăn trước</w:t>
      </w:r>
      <w:r>
        <w:t xml:space="preserve">”</w:t>
      </w:r>
      <w:r>
        <w:t xml:space="preserve">. Trong khung ICRV, việc đẩy nhanh giao hàng cộng với bất định chính sách vận hành như một</w:t>
      </w:r>
      <w:r>
        <w:t xml:space="preserve"> </w:t>
      </w:r>
      <w:r>
        <w:rPr>
          <w:bCs/>
          <w:b/>
        </w:rPr>
        <w:t xml:space="preserve">cú sốc ngoại sinh (exogenous shock)</w:t>
      </w:r>
      <w:r>
        <w:t xml:space="preserve"> </w:t>
      </w:r>
      <w:r>
        <w:t xml:space="preserve">đảo dấu hệ số FSTS giữa hai nhóm. Với (a)</w:t>
      </w:r>
      <w:r>
        <w:t xml:space="preserve"> </w:t>
      </w:r>
      <w:r>
        <w:rPr>
          <w:bCs/>
          <w:b/>
        </w:rPr>
        <w:t xml:space="preserve">nhóm Emerging có năng lực FDI cao</w:t>
      </w:r>
      <w:r>
        <w:t xml:space="preserve"> </w:t>
      </w:r>
      <w:r>
        <w:t xml:space="preserve">(doanh nghiệp FDI sản xuất chế biến tại Việt Nam), khả năng đẩy nhanh và phòng ngừa rủi ro tốt khiến tương quan FSTS với năng suất dương mạnh trong ngắn hạn 2025, rồi đảo chiều âm trong 2026-2027 do</w:t>
      </w:r>
      <w:r>
        <w:t xml:space="preserve"> </w:t>
      </w:r>
      <w:r>
        <w:rPr>
          <w:bCs/>
          <w:b/>
        </w:rPr>
        <w:t xml:space="preserve">cạn kiệt đơn hàng tương lai (exhaustion of forward orders)</w:t>
      </w:r>
      <w:r>
        <w:t xml:space="preserve">. Với (b)</w:t>
      </w:r>
      <w:r>
        <w:t xml:space="preserve"> </w:t>
      </w:r>
      <w:r>
        <w:rPr>
          <w:bCs/>
          <w:b/>
        </w:rPr>
        <w:t xml:space="preserve">nhóm Emerging có năng lực FDI thấp</w:t>
      </w:r>
      <w:r>
        <w:t xml:space="preserve"> </w:t>
      </w:r>
      <w:r>
        <w:t xml:space="preserve">(doanh nghiệp nội địa SME thiếu</w:t>
      </w:r>
      <w:r>
        <w:t xml:space="preserve"> </w:t>
      </w:r>
      <w:r>
        <w:rPr>
          <w:bCs/>
          <w:b/>
        </w:rPr>
        <w:t xml:space="preserve">tồn kho dự phòng (buffer inventory)</w:t>
      </w:r>
      <w:r>
        <w:t xml:space="preserve">), việc không thể đẩy nhanh giao hàng khiến tương quan FSTS với năng suất yếu hoặc âm ở cả 2 giai đoạn. Về</w:t>
      </w:r>
      <w:r>
        <w:t xml:space="preserve"> </w:t>
      </w:r>
      <w:r>
        <w:rPr>
          <w:bCs/>
          <w:b/>
        </w:rPr>
        <w:t xml:space="preserve">sự phân hóa giữa doanh nghiệp lớn và SME</w:t>
      </w:r>
      <w:r>
        <w:t xml:space="preserve">: tập đoàn lớn hấp thụ chi phí thuế quan qua đa thị trường và phòng ngừa tài chính (financial hedging), trong khi SME phải chọn giữa tự hấp thụ chi phí (giảm biên lợi nhuận) hoặc chuyển giá cho khách hàng (mất đơn hàng). Hàm ý cho CĐ2 là bổ sung</w:t>
      </w:r>
      <w:r>
        <w:t xml:space="preserve"> </w:t>
      </w:r>
      <w:r>
        <w:rPr>
          <w:bCs/>
          <w:b/>
        </w:rPr>
        <w:t xml:space="preserve">biến</w:t>
      </w:r>
      <w:r>
        <w:rPr>
          <w:bCs/>
          <w:b/>
        </w:rPr>
        <w:t xml:space="preserve"> </w:t>
      </w:r>
      <w:r>
        <w:rPr>
          <w:rStyle w:val="VerbatimChar"/>
          <w:bCs/>
          <w:b/>
        </w:rPr>
        <w:t xml:space="preserve">Tariff_Front_Loading_2025_2026</w:t>
      </w:r>
      <w:r>
        <w:t xml:space="preserve"> </w:t>
      </w:r>
      <w:r>
        <w:t xml:space="preserve">(proxy: tỷ trọng xuất khẩu sang Mỹ nhân với thời điểm giao hàng quý 1-2 năm 2026) vào kiểm định độ vững (robustness check) #8 về đẩy nhanh giao hàng được hiệu chỉnh (front-loading-adjusted re-estimation).</w:t>
      </w:r>
    </w:p>
    <w:bookmarkStart w:id="30" w:name="X91b9fe7408792a1402d97f763d72aec517b45c6"/>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phân tầng theo khu vực địa lý.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r>
              <w:t xml:space="preserve"> </w:t>
            </w:r>
            <w:r>
              <w:rPr>
                <w:iCs/>
                <w:i/>
              </w:rPr>
              <w:t xml:space="preserve">(dẫn đầu globally)</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r>
              <w:t xml:space="preserve"> </w:t>
            </w:r>
            <w:r>
              <w:rPr>
                <w:iCs/>
                <w:i/>
              </w:rPr>
              <w:t xml:space="preserve">(thấp nhất globally)</w:t>
            </w:r>
          </w:p>
        </w:tc>
        <w:tc>
          <w:tcPr/>
          <w:p>
            <w:pPr>
              <w:pStyle w:val="Compact"/>
              <w:jc w:val="left"/>
            </w:pPr>
            <w:r>
              <w:t xml:space="preserve">+1,6 đpt</w:t>
            </w:r>
          </w:p>
        </w:tc>
      </w:tr>
    </w:tbl>
    <w:p>
      <w:pPr>
        <w:pStyle w:val="BodyText"/>
      </w:pPr>
      <w:r>
        <w:t xml:space="preserve">Sáu quan sát: (a)</w:t>
      </w:r>
      <w:r>
        <w:t xml:space="preserve"> </w:t>
      </w:r>
      <w:r>
        <w:rPr>
          <w:bCs/>
          <w:b/>
        </w:rPr>
        <w:t xml:space="preserve">EAP dẫn đầu, nghịch lý giới châu Á</w:t>
      </w:r>
      <w:r>
        <w:t xml:space="preserve">: EAP có 33,4% nữ TMT, cao nhất toàn cầu, trong khi South Asia và MENA thấp nhất, phản ánh sự không đồng nhất về thể chế và văn hóa trong nội bộ</w:t>
      </w:r>
      <w:r>
        <w:t xml:space="preserve"> </w:t>
      </w:r>
      <w:r>
        <w:t xml:space="preserve">“</w:t>
      </w:r>
      <w:r>
        <w:t xml:space="preserve">châu Á</w:t>
      </w:r>
      <w:r>
        <w:t xml:space="preserve">”</w:t>
      </w:r>
      <w:r>
        <w:t xml:space="preserve">; (b)</w:t>
      </w:r>
      <w:r>
        <w:t xml:space="preserve"> </w:t>
      </w:r>
      <w:r>
        <w:rPr>
          <w:bCs/>
          <w:b/>
        </w:rPr>
        <w:t xml:space="preserve">MENA thấp nhất do rào cản cấu trúc</w:t>
      </w:r>
      <w:r>
        <w:t xml:space="preserve">: MENA chỉ có 3,3% nữ TMT và 1,7% nữ ownership, thấp nhất toàn cầu, phản ánh rào cản thể chế và luật pháp đặc thù (World Bank, 2024,</w:t>
      </w:r>
      <w:r>
        <w:t xml:space="preserve"> </w:t>
      </w:r>
      <w:r>
        <w:rPr>
          <w:iCs/>
          <w:i/>
        </w:rPr>
        <w:t xml:space="preserve">Women, Business and the Law</w:t>
      </w:r>
      <w:r>
        <w:t xml:space="preserve">); (c)</w:t>
      </w:r>
      <w:r>
        <w:t xml:space="preserve"> </w:t>
      </w:r>
      <w:r>
        <w:rPr>
          <w:bCs/>
          <w:b/>
        </w:rPr>
        <w:t xml:space="preserve">Trần sở hữu phổ biến</w:t>
      </w:r>
      <w:r>
        <w:t xml:space="preserve">: 43/50 nền kinh tế có ownership ceiling cao hơn management representation, gợi ý rào cản đặc thù ở cấp sở hữu vốn (equity ownership) so với vị trí quản lý; (d)</w:t>
      </w:r>
      <w:r>
        <w:t xml:space="preserve"> </w:t>
      </w:r>
      <w:r>
        <w:rPr>
          <w:bCs/>
          <w:b/>
        </w:rPr>
        <w:t xml:space="preserve">Các tham chiếu biên về TMT moderation</w:t>
      </w:r>
      <w:r>
        <w:t xml:space="preserve">: Mardones-Ibáñez (2025,</w:t>
      </w:r>
      <w:r>
        <w:t xml:space="preserve"> </w:t>
      </w:r>
      <w:r>
        <w:rPr>
          <w:iCs/>
          <w:i/>
        </w:rPr>
        <w:t xml:space="preserve">SAGE Open</w:t>
      </w:r>
      <w:r>
        <w:t xml:space="preserve">) trong bối cảnh Chile cùng Al-Najjar et al. (2025,</w:t>
      </w:r>
      <w:r>
        <w:t xml:space="preserve"> </w:t>
      </w:r>
      <w:r>
        <w:rPr>
          <w:iCs/>
          <w:i/>
        </w:rPr>
        <w:t xml:space="preserve">IJHRM</w:t>
      </w:r>
      <w:r>
        <w:t xml:space="preserve">) về hiệu ứng U-shaped TMT gender ở S&amp;P 500 không suy rộng trực tiếp được sang ICRV Emerging hay Frontier; (e)</w:t>
      </w:r>
      <w:r>
        <w:t xml:space="preserve"> </w:t>
      </w:r>
      <w:r>
        <w:rPr>
          <w:bCs/>
          <w:b/>
        </w:rPr>
        <w:t xml:space="preserve">Giả thuyết bổ trợ công nghệ</w:t>
      </w:r>
      <w:r>
        <w:t xml:space="preserve"> </w:t>
      </w:r>
      <w:r>
        <w:t xml:space="preserve">(Carboni et al., WBES 192K obs, 158 nước, 2006–2023): female top manager (</w:t>
      </w:r>
      <w:r>
        <w:rPr>
          <w:rStyle w:val="VerbatimChar"/>
        </w:rPr>
        <w:t xml:space="preserve">b7a</w:t>
      </w:r>
      <w:r>
        <w:t xml:space="preserve">) tương tác với technology adoption, với tác động lên ESG-performance mạnh hơn khi doanh nghiệp có DAI cao; (f)</w:t>
      </w:r>
      <w:r>
        <w:t xml:space="preserve"> </w:t>
      </w:r>
      <w:r>
        <w:rPr>
          <w:bCs/>
          <w:b/>
        </w:rPr>
        <w:t xml:space="preserve">Tính dị biệt về hiệu quả doanh nghiệp</w:t>
      </w:r>
      <w:r>
        <w:t xml:space="preserve"> </w:t>
      </w:r>
      <w:r>
        <w:t xml:space="preserve">(World Bank, 2024,</w:t>
      </w:r>
      <w:r>
        <w:t xml:space="preserve"> </w:t>
      </w:r>
      <w:r>
        <w:rPr>
          <w:iCs/>
          <w:i/>
        </w:rPr>
        <w:t xml:space="preserve">Unlocking Global Growth: Closing the Gender Gap in Business</w:t>
      </w:r>
      <w:r>
        <w:t xml:space="preserve">): doanh nghiệp có nữ sở hữu đa số có doanh thu trên nhân viên thấp hơn trung bình nhưng tốc độ tăng trưởng việc làm cao hơn ở nhóm Frontier và Emerging, một pattern phù hợp với việc CAGR việc làm SIDS cao nhất (5,77%) ở Mục 4.3.</w:t>
      </w:r>
    </w:p>
    <w:p>
      <w:pPr>
        <w:pStyle w:val="BodyText"/>
      </w:pPr>
      <w:r>
        <w:rPr>
          <w:bCs/>
          <w:b/>
        </w:rPr>
        <w:t xml:space="preserve">Liên kết với Mục 4.5.6</w:t>
      </w:r>
      <w:r>
        <w:t xml:space="preserve">: Chi tiết phân tầng female top manager theo ICRV sub-regime và hàm ý của biến</w:t>
      </w:r>
      <w:r>
        <w:t xml:space="preserve"> </w:t>
      </w:r>
      <w:r>
        <w:rPr>
          <w:rStyle w:val="VerbatimChar"/>
        </w:rPr>
        <w:t xml:space="preserve">b7a</w:t>
      </w:r>
      <w:r>
        <w:t xml:space="preserve"> </w:t>
      </w:r>
      <w:r>
        <w:t xml:space="preserve">trong specification của CĐ2 được trình bày ở Mục 4.5.6 file 15.</w:t>
      </w:r>
    </w:p>
    <w:p>
      <w:pPr>
        <w:pStyle w:val="BodyText"/>
      </w:pPr>
      <w:r>
        <w:rPr>
          <w:bCs/>
          <w:b/>
        </w:rPr>
        <w:t xml:space="preserve">Nguồn</w:t>
      </w:r>
      <w:r>
        <w:t xml:space="preserve">: Carboni et al. (2024/2025, WBES ESG indicators); World Bank (2024)</w:t>
      </w:r>
      <w:r>
        <w:t xml:space="preserve"> </w:t>
      </w:r>
      <w:r>
        <w:rPr>
          <w:iCs/>
          <w:i/>
        </w:rPr>
        <w:t xml:space="preserve">Unlocking Global Growth: Closing the Gender Gap in Business</w:t>
      </w:r>
      <w:r>
        <w:t xml:space="preserve"> </w:t>
      </w:r>
      <w:r>
        <w:t xml:space="preserve">(WBES 167 nền kinh tế); Mardones-Ibáñez (2025,</w:t>
      </w:r>
      <w:r>
        <w:t xml:space="preserve"> </w:t>
      </w:r>
      <w:r>
        <w:rPr>
          <w:iCs/>
          <w:i/>
        </w:rPr>
        <w:t xml:space="preserve">SAGE Open</w:t>
      </w:r>
      <w:r>
        <w:t xml:space="preserve">); Al-Najjar et al. (2025,</w:t>
      </w:r>
      <w:r>
        <w:t xml:space="preserve"> </w:t>
      </w:r>
      <w:r>
        <w:rPr>
          <w:iCs/>
          <w:i/>
        </w:rPr>
        <w:t xml:space="preserve">IJHRM</w:t>
      </w:r>
      <w:r>
        <w:t xml:space="preserve">).</w:t>
      </w:r>
    </w:p>
    <w:bookmarkEnd w:id="30"/>
    <w:bookmarkStart w:id="31" w:name="đường-cong-u-của-innovation-digital-tech"/>
    <w:p>
      <w:pPr>
        <w:pStyle w:val="Heading3"/>
      </w:pPr>
      <w:r>
        <w:t xml:space="preserve">6.2 Đường cong U của innovation digital tech</w:t>
      </w:r>
    </w:p>
    <w:p>
      <w:pPr>
        <w:pStyle w:val="FirstParagraph"/>
      </w:pPr>
      <w:r>
        <w:rPr>
          <w:bCs/>
          <w:b/>
        </w:rPr>
        <w:t xml:space="preserve">Giai đoạn 1 (chi phí đầu tư cao)</w:t>
      </w:r>
      <w:r>
        <w:t xml:space="preserve">: trong 1-3 năm đầu, hiệu quả tài chính ngắn hạn giảm, phù hợp với DAI âm -0,129 ở Advanced và hiện tượng</w:t>
      </w:r>
      <w:r>
        <w:t xml:space="preserve"> </w:t>
      </w:r>
      <w:r>
        <w:t xml:space="preserve">“</w:t>
      </w:r>
      <w:r>
        <w:t xml:space="preserve">digital theatre</w:t>
      </w:r>
      <w:r>
        <w:t xml:space="preserve">”</w:t>
      </w:r>
      <w:r>
        <w:t xml:space="preserve"> </w:t>
      </w:r>
      <w:r>
        <w:t xml:space="preserve">(Verhoef et al., 2021).</w:t>
      </w:r>
      <w:r>
        <w:t xml:space="preserve"> </w:t>
      </w:r>
      <w:r>
        <w:rPr>
          <w:bCs/>
          <w:b/>
        </w:rPr>
        <w:t xml:space="preserve">Giai đoạn 2 (productivity payoff)</w:t>
      </w:r>
      <w:r>
        <w:t xml:space="preserve">: khi vượt ngưỡng khoảng 3% revenue mỗi năm và duy trì trong 3-5 năm, doanh nghiệp đạt được tăng năng suất, cạnh tranh quốc tế và profit margin. Phần này liên kết với Tier-1/Tier-2 ở Mục 4.4.5 file 15. Bằng chứng: Trung Quốc R&amp;D 39,4% ở late-stage Tier-2; Vùng Vịnh ở transition phase; Việt Nam R&amp;D 6,1% ở early Tier-2.</w:t>
      </w:r>
    </w:p>
    <w:bookmarkEnd w:id="31"/>
    <w:bookmarkStart w:id="32" w:name="Xf9ec9b407e15d41f89e26f6f914c1035a1a1690"/>
    <w:p>
      <w:pPr>
        <w:pStyle w:val="Heading3"/>
      </w:pPr>
      <w:r>
        <w:t xml:space="preserve">6.3 Bối cảnh trợ cấp công nghiệp toàn cầu (OECD MAGIC, tháng 6 năm 2026)</w:t>
      </w:r>
    </w:p>
    <w:p>
      <w:pPr>
        <w:pStyle w:val="FirstParagraph"/>
      </w:pPr>
      <w:r>
        <w:t xml:space="preserve">Báo cáo</w:t>
      </w:r>
      <w:r>
        <w:t xml:space="preserve"> </w:t>
      </w:r>
      <w:r>
        <w:rPr>
          <w:iCs/>
          <w:i/>
        </w:rPr>
        <w:t xml:space="preserve">OECD MAGIC Database of Industrial Subsidies</w:t>
      </w:r>
      <w:r>
        <w:t xml:space="preserve"> </w:t>
      </w:r>
      <w:r>
        <w:t xml:space="preserve">phiên bản tháng 6 năm 2026 (OECD, 2026) cung cấp dữ liệu cấp doanh nghiệp gần nhất về tình hình trợ cấp công nghiệp toàn cầu, dựa trên 525 tập đoàn sản xuất lớn nhất thế giới ở 15 ngành công nghiệp trọng yếu giai đoạn 2005-2024. Bộ dữ liệu này cung cấp ba lớp bối cảnh quan trọng cho việc diễn giải hiện trạng hiệu quả hoạt động doanh nghiệp tại châu Á.</w:t>
      </w:r>
    </w:p>
    <w:p>
      <w:pPr>
        <w:pStyle w:val="BodyText"/>
      </w:pPr>
      <w:r>
        <w:rPr>
          <w:bCs/>
          <w:b/>
        </w:rPr>
        <w:t xml:space="preserve">Lớp một: Quy mô và phân bố địa lý của trợ cấp.</w:t>
      </w:r>
      <w:r>
        <w:t xml:space="preserve"> </w:t>
      </w:r>
      <w:r>
        <w:t xml:space="preserve">Trợ cấp công nghiệp đã đạt mức cao nhất kể từ khủng hoảng tài chính 2008-09: 1,3% doanh thu doanh nghiệp năm 2024, tổng cộng USD 108 tỷ trên 15 ngành (OECD, 2026). Doanh nghiệp đóng trụ sở tại Trung Quốc nhận trung bình gấp ba đến tám lần mức hỗ trợ so với doanh nghiệp OECD trong giai đoạn 2005-2024; trong khi đó doanh nghiệp tại Brazil, Ấn Độ và Indonesia nhận mức tương đương khoảng cách với Bắc Mỹ. Sự bất đối xứng này trùng khớp với dải biến thiên ICRV của luận án: chế độ trợ cấp đậm đặc ở Trung Quốc (ICRV III, Upper-middle) phản ánh một cấu hình thể chế nơi nhà nước đóng vai trò chủ động trong việc chuyển hóa quan hệ I-P thành thị phần.</w:t>
      </w:r>
    </w:p>
    <w:p>
      <w:pPr>
        <w:pStyle w:val="BodyText"/>
      </w:pPr>
      <w:r>
        <w:rPr>
          <w:bCs/>
          <w:b/>
        </w:rPr>
        <w:t xml:space="preserve">Lớp hai: Loại hình trợ cấp và vai trò doanh nghiệp nhà nước (DNNN).</w:t>
      </w:r>
      <w:r>
        <w:t xml:space="preserve"> </w:t>
      </w:r>
      <w:r>
        <w:t xml:space="preserve">OECD MAGIC phân tách ba loại trợ cấp chính: tài trợ trực tiếp (grants), ưu đãi thuế thu nhập (income-tax concessions) và vay vốn dưới giá thị trường (below-market borrowings, BMB). Cấu trúc trợ cấp khác nhau theo khu vực: Nhật Bản, Hàn Quốc và Mỹ chủ yếu ưu đãi thuế gắn với R&amp;D và tài sản cố định; châu Âu nghiêng về tài trợ trực tiếp; Trung Quốc dồn vào tài trợ và BMB do hệ thống tài chính chủ yếu là ngân hàng nhà nước cho vay ở lãi suất gần với mức tham chiếu. Doanh nghiệp với tỷ lệ sở hữu nhà nước trên 25% nhận trợ cấp cao hơn rõ rệt so với doanh nghiệp tư nhân, đặc biệt qua kênh BMB. Trong ngành đóng tàu, 65% doanh thu toàn ngành đến từ doanh nghiệp có sở hữu nhà nước vượt 25%. Phát hiện này nối tiếp lý thuyết khoảng trống thể chế của Khanna và Palepu (2010): khi cơ chế thị trường chưa hoàn thiện, DNNN trở thành cả người nhận lẫn người trung chuyển trợ cấp, tạo ra sự thiếu minh bạch xung quanh phạm vi thực sự của hỗ trợ công nghiệp.</w:t>
      </w:r>
    </w:p>
    <w:p>
      <w:pPr>
        <w:pStyle w:val="BodyText"/>
      </w:pPr>
      <w:r>
        <w:rPr>
          <w:bCs/>
          <w:b/>
        </w:rPr>
        <w:t xml:space="preserve">Lớp ba: Tác động kép lên thị phần và năng suất.</w:t>
      </w:r>
      <w:r>
        <w:t xml:space="preserve"> </w:t>
      </w:r>
      <w:r>
        <w:t xml:space="preserve">Đây là phát hiện quan trọng nhất đối với phương pháp luận của luận án. OECD (2026) ước lượng rằng khoảng 22% mức tăng thị phần toàn cầu của các doanh nghiệp tăng trưởng giai đoạn 2005-2023 có thể giải thích bằng trợ cấp đã nhận; với doanh nghiệp Trung Quốc, tỷ lệ này lên đến gần 60%. Tuy nhiên, các phân tích đi kèm cho thấy trợ cấp công nghiệp</w:t>
      </w:r>
      <w:r>
        <w:t xml:space="preserve"> </w:t>
      </w:r>
      <w:r>
        <w:rPr>
          <w:iCs/>
          <w:i/>
        </w:rPr>
        <w:t xml:space="preserve">không</w:t>
      </w:r>
      <w:r>
        <w:t xml:space="preserve"> </w:t>
      </w:r>
      <w:r>
        <w:t xml:space="preserve">dẫn đến tăng đáng kể</w:t>
      </w:r>
      <w:r>
        <w:t xml:space="preserve"> </w:t>
      </w:r>
      <w:r>
        <w:rPr>
          <w:iCs/>
          <w:i/>
        </w:rPr>
        <w:t xml:space="preserve">năng suất hay lợi nhuận</w:t>
      </w:r>
      <w:r>
        <w:t xml:space="preserve">; phần lớn mức tăng thị phần đến từ khả năng hạ giá để giành thị phần khỏi đối thủ cạnh tranh thay vì cải thiện hiệu quả sản xuất thực chất. Điều này có ý nghĩa kép cho khung CDCM của luận án.</w:t>
      </w:r>
      <w:r>
        <w:t xml:space="preserve"> </w:t>
      </w:r>
      <w:r>
        <w:rPr>
          <w:iCs/>
          <w:i/>
        </w:rPr>
        <w:t xml:space="preserve">Thứ nhất</w:t>
      </w:r>
      <w:r>
        <w:t xml:space="preserve">, việc luận án chọn năng suất lao động (chứ không phải thị phần hay doanh thu) làm biến phụ thuộc chính được hậu thuẫn mạnh: chỉ số năng suất ít bị bóp méo bởi trợ cấp xuyên quốc gia hơn các thước đo dựa trên doanh thu, do vậy các phát hiện về quan hệ I-P trong luận án phản ánh hiệu quả thực chất chứ không phải lợi thế trợ cấp tạm thời.</w:t>
      </w:r>
      <w:r>
        <w:t xml:space="preserve"> </w:t>
      </w:r>
      <w:r>
        <w:rPr>
          <w:iCs/>
          <w:i/>
        </w:rPr>
        <w:t xml:space="preserve">Thứ hai</w:t>
      </w:r>
      <w:r>
        <w:t xml:space="preserve">, sự không ngang bằng về sân chơi (level playing field) mà OECD (2026) nhấn mạnh củng cố luận điểm CDCM về vai trò thay thế của năng lực số khi thể chế yếu hoặc bị bóp méo: ở các bối cảnh nơi trợ cấp lấn át cạnh tranh dựa trên năng lực, năng lực số bề mặt (DAI Tier-1+2) chỉ còn là điều kiện cần để duy trì khả năng cạnh tranh chứ không tạo ra lợi thế khác biệt rõ rệt.</w:t>
      </w:r>
    </w:p>
    <w:p>
      <w:pPr>
        <w:pStyle w:val="BodyText"/>
      </w:pPr>
      <w:r>
        <w:rPr>
          <w:bCs/>
          <w:b/>
        </w:rPr>
        <w:t xml:space="preserve">Hàm ý cho CĐ2 và luận án.</w:t>
      </w:r>
      <w:r>
        <w:t xml:space="preserve"> </w:t>
      </w:r>
      <w:r>
        <w:t xml:space="preserve">Bối cảnh OECD MAGIC tháng 6 năm 2026 yêu cầu CĐ2 phải giải thích minh bạch hai điểm: (i) tại sao luận án dùng năng suất lao động làm biến phụ thuộc chính thay vì doanh thu hay thị phần; (ii) tại sao ICRV phân tách nhóm Advanced thành đổi mới sáng tạo dẫn dắt (Group I, Singapore/Korea) và tài nguyên dẫn dắt (Group II, GCC) thay vì gộp chung, bởi cấu hình trợ cấp ở hai nhóm này khác nhau căn bản. Khía cạnh</w:t>
      </w:r>
      <w:r>
        <w:t xml:space="preserve"> </w:t>
      </w:r>
      <w:r>
        <w:t xml:space="preserve">“</w:t>
      </w:r>
      <w:r>
        <w:t xml:space="preserve">doping in sports</w:t>
      </w:r>
      <w:r>
        <w:t xml:space="preserve">”</w:t>
      </w:r>
      <w:r>
        <w:t xml:space="preserve"> </w:t>
      </w:r>
      <w:r>
        <w:t xml:space="preserve">mà OECD (2026) ví von gợi ý rằng phần thị phần giành được nhờ trợ cấp không phản ánh năng lực thực chất; bằng chứng năng suất của luận án (β = +0,179 cho TCI tại Việt Nam; β = +0,172 cho DAI ở mẫu gộp đa quốc gia) do đó càng đáng tin cậy vì đo lường hiệu quả thực chất chứ không phải lợi thế trợ cấp.</w:t>
      </w:r>
    </w:p>
    <w:p>
      <w:r>
        <w:pict>
          <v:rect style="width:0;height:1.5pt" o:hralign="center" o:hrstd="t" o:hr="t"/>
        </w:pict>
      </w:r>
    </w:p>
    <w:bookmarkEnd w:id="32"/>
    <w:bookmarkEnd w:id="33"/>
    <w:bookmarkStart w:id="43" w:name="X17daa0e29aa21f9f5e68f9f206a3b1f337ad328"/>
    <w:p>
      <w:pPr>
        <w:pStyle w:val="Heading2"/>
      </w:pPr>
      <w:r>
        <w:t xml:space="preserve">CHƯƠNG 7 — KHOẢNG TRỐNG THỰC TIỄN VÀ KẾT LUẬN</w:t>
      </w:r>
    </w:p>
    <w:bookmarkStart w:id="34" w:name="Xffcb779075ac33290da15d3166d835ab6e85124"/>
    <w:p>
      <w:pPr>
        <w:pStyle w:val="Heading3"/>
      </w:pPr>
      <w:r>
        <w:t xml:space="preserve">7.1 Khoảng trống nghiên cứu thực tiễn (năm khoảng trống)</w:t>
      </w:r>
    </w:p>
    <w:p>
      <w:pPr>
        <w:pStyle w:val="FirstParagraph"/>
      </w:pPr>
      <w:r>
        <w:t xml:space="preserve">Chuyên đề xác định năm khoảng trống thực tiễn (empirical gap) định hướng cho CĐ2 và luận án.</w:t>
      </w:r>
      <w:r>
        <w:t xml:space="preserve"> </w:t>
      </w:r>
      <w:r>
        <w:rPr>
          <w:bCs/>
          <w:b/>
        </w:rPr>
        <w:t xml:space="preserve">Một là</w:t>
      </w:r>
      <w:r>
        <w:t xml:space="preserve"> </w:t>
      </w:r>
      <w:r>
        <w:t xml:space="preserve">thiếu một tổng hợp mô tả đa chiều, cập nhật đến 2025, xuyên 47 nền kinh tế châu Á và Thái Bình Dương; các nghiên cứu hiện hành dừng ở phạm vi hẹp hơn và mốc thời gian sớm hơn (Wu et al., 2022 dừng ở 2020; Arte &amp; Larimo, 2022 dừng ở 2019).</w:t>
      </w:r>
      <w:r>
        <w:t xml:space="preserve"> </w:t>
      </w:r>
      <w:r>
        <w:rPr>
          <w:bCs/>
          <w:b/>
        </w:rPr>
        <w:t xml:space="preserve">Hai là</w:t>
      </w:r>
      <w:r>
        <w:t xml:space="preserve"> </w:t>
      </w:r>
      <w:r>
        <w:t xml:space="preserve">thiếu phân nhóm con (sub-grouping) trong nhóm Advanced, phân biệt đổi mới sáng tạo dẫn dắt so với tài nguyên dẫn dắt, vốn bị che giấu khi gộp chung.</w:t>
      </w:r>
      <w:r>
        <w:t xml:space="preserve"> </w:t>
      </w:r>
      <w:r>
        <w:rPr>
          <w:bCs/>
          <w:b/>
        </w:rPr>
        <w:t xml:space="preserve">Ba là</w:t>
      </w:r>
      <w:r>
        <w:t xml:space="preserve"> </w:t>
      </w:r>
      <w:r>
        <w:t xml:space="preserve">thiếu phân tách hai tầng đo lường số hóa (Tier-1 Digital Presence so với Tier-1+2 Digital Transformation), dẫn tới ngộ nhận về dấu của hệ số DAI.</w:t>
      </w:r>
      <w:r>
        <w:t xml:space="preserve"> </w:t>
      </w:r>
      <w:r>
        <w:rPr>
          <w:bCs/>
          <w:b/>
        </w:rPr>
        <w:t xml:space="preserve">Bốn là</w:t>
      </w:r>
      <w:r>
        <w:t xml:space="preserve"> </w:t>
      </w:r>
      <w:r>
        <w:t xml:space="preserve">thiếu khung lý giải đa tầng cho hiện tượng đảo dấu cross-regime của các yếu tố giải thích.</w:t>
      </w:r>
      <w:r>
        <w:t xml:space="preserve"> </w:t>
      </w:r>
      <w:r>
        <w:rPr>
          <w:bCs/>
          <w:b/>
        </w:rPr>
        <w:t xml:space="preserve">Năm là</w:t>
      </w:r>
      <w:r>
        <w:t xml:space="preserve"> </w:t>
      </w:r>
      <w:r>
        <w:t xml:space="preserve">thiếu bằng chứng firm-level cho chi phí buộc phải quốc tế hóa (forced internationalization penalty) ở các nền kinh tế đảo nhỏ biên.</w:t>
      </w:r>
    </w:p>
    <w:bookmarkEnd w:id="34"/>
    <w:bookmarkStart w:id="35" w:name="kết-luận-chính-tám-kết-luận"/>
    <w:p>
      <w:pPr>
        <w:pStyle w:val="Heading3"/>
      </w:pPr>
      <w:r>
        <w:t xml:space="preserve">7.2 Kết luận chính (tám kết luận)</w:t>
      </w:r>
    </w:p>
    <w:p>
      <w:pPr>
        <w:pStyle w:val="FirstParagraph"/>
      </w:pPr>
      <w:r>
        <w:t xml:space="preserve">Tám kết luận chính của chuyên đề:</w:t>
      </w:r>
      <w:r>
        <w:t xml:space="preserve"> </w:t>
      </w:r>
      <w:r>
        <w:rPr>
          <w:bCs/>
          <w:b/>
        </w:rPr>
        <w:t xml:space="preserve">(1)</w:t>
      </w:r>
      <w:r>
        <w:t xml:space="preserve"> </w:t>
      </w:r>
      <w:r>
        <w:t xml:space="preserve">hiệu quả doanh nghiệp châu Á phân tán lớn và không hội tụ, với phân tán năng suất nội bộ tăng đơn điệu khi chất lượng phân nhóm con thể chế suy giảm (Advanced 0,86 đến Frontier 1,36);</w:t>
      </w:r>
      <w:r>
        <w:t xml:space="preserve"> </w:t>
      </w:r>
      <w:r>
        <w:rPr>
          <w:bCs/>
          <w:b/>
        </w:rPr>
        <w:t xml:space="preserve">(2)</w:t>
      </w:r>
      <w:r>
        <w:t xml:space="preserve"> </w:t>
      </w:r>
      <w:r>
        <w:t xml:space="preserve">nhóm Advanced không đồng nhất, tách thành đổi mới sáng tạo dẫn dắt so với tài nguyên dẫn dắt (tỷ số phân tán ≈ 2,1 lần);</w:t>
      </w:r>
      <w:r>
        <w:t xml:space="preserve"> </w:t>
      </w:r>
      <w:r>
        <w:rPr>
          <w:bCs/>
          <w:b/>
        </w:rPr>
        <w:t xml:space="preserve">(3)</w:t>
      </w:r>
      <w:r>
        <w:t xml:space="preserve"> </w:t>
      </w:r>
      <w:r>
        <w:t xml:space="preserve">nhóm Emerging tách thành ba phân nhóm con với FSTS phân tầng 5,0%–7,2%–13,2%;</w:t>
      </w:r>
      <w:r>
        <w:t xml:space="preserve"> </w:t>
      </w:r>
      <w:r>
        <w:rPr>
          <w:bCs/>
          <w:b/>
        </w:rPr>
        <w:t xml:space="preserve">(4)</w:t>
      </w:r>
      <w:r>
        <w:t xml:space="preserve"> </w:t>
      </w:r>
      <w:r>
        <w:t xml:space="preserve">nhảy vọt số (digital leapfrog) diễn ra ở Frontier, Emerging và SIDS, nhưng hệ số âm DAI ở Advanced là biểu hiện giả tạo do bão hòa Tier-1;</w:t>
      </w:r>
      <w:r>
        <w:t xml:space="preserve"> </w:t>
      </w:r>
      <w:r>
        <w:rPr>
          <w:bCs/>
          <w:b/>
        </w:rPr>
        <w:t xml:space="preserve">(5)</w:t>
      </w:r>
      <w:r>
        <w:t xml:space="preserve"> </w:t>
      </w:r>
      <w:r>
        <w:t xml:space="preserve">quốc tế hóa là hiện tượng phân cực (trung vị FSTS = 0%);</w:t>
      </w:r>
      <w:r>
        <w:t xml:space="preserve"> </w:t>
      </w:r>
      <w:r>
        <w:rPr>
          <w:bCs/>
          <w:b/>
        </w:rPr>
        <w:t xml:space="preserve">(6)</w:t>
      </w:r>
      <w:r>
        <w:t xml:space="preserve"> </w:t>
      </w:r>
      <w:r>
        <w:t xml:space="preserve">quan hệ FSTS–năng suất phi tuyến dạng chữ U ngược với điểm uốn đặc thù quốc gia (Việt Nam ≈ 39–46%, Trung Quốc ≈ 47–49%, Singapore ≈ 82%);</w:t>
      </w:r>
      <w:r>
        <w:t xml:space="preserve"> </w:t>
      </w:r>
      <w:r>
        <w:rPr>
          <w:bCs/>
          <w:b/>
        </w:rPr>
        <w:t xml:space="preserve">(7)</w:t>
      </w:r>
      <w:r>
        <w:t xml:space="preserve"> </w:t>
      </w:r>
      <w:r>
        <w:t xml:space="preserve">SIDS Thái Bình Dương biên, đặc biệt Kiribati cực đoan, minh họa sự sụp đổ của đường cong U và chi phí buộc phải quốc tế hóa;</w:t>
      </w:r>
      <w:r>
        <w:t xml:space="preserve"> </w:t>
      </w:r>
      <w:r>
        <w:rPr>
          <w:bCs/>
          <w:b/>
        </w:rPr>
        <w:t xml:space="preserve">(8)</w:t>
      </w:r>
      <w:r>
        <w:t xml:space="preserve"> </w:t>
      </w:r>
      <w:r>
        <w:t xml:space="preserve">toàn bộ pattern được dựng trên pipeline tái lập được cho ba thế hệ schema WBES. Các kết luận này cùng định hướng cho</w:t>
      </w:r>
      <w:r>
        <w:t xml:space="preserve"> </w:t>
      </w:r>
      <w:r>
        <w:rPr>
          <w:bCs/>
          <w:b/>
        </w:rPr>
        <w:t xml:space="preserve">tám phân nhóm con</w:t>
      </w:r>
      <w:r>
        <w:t xml:space="preserve"> </w:t>
      </w:r>
      <w:r>
        <w:t xml:space="preserve">hiệu ứng cố định và sáu giả thuyết H1–H6 của CĐ2 (xem Mục 4.7 file 15).</w:t>
      </w:r>
    </w:p>
    <w:bookmarkEnd w:id="35"/>
    <w:bookmarkStart w:id="40" w:name="hàm-ý-cho-luận-án-và-chuyên-đề-2"/>
    <w:p>
      <w:pPr>
        <w:pStyle w:val="Heading3"/>
      </w:pPr>
      <w:r>
        <w:t xml:space="preserve">7.3 Hàm ý cho luận án và Chuyên đề 2</w:t>
      </w:r>
    </w:p>
    <w:bookmarkStart w:id="36" w:name="hàm-ý-lý-thuyết"/>
    <w:p>
      <w:pPr>
        <w:pStyle w:val="Heading4"/>
      </w:pPr>
      <w:r>
        <w:t xml:space="preserve">7.3.1 Hàm ý lý thuyết</w:t>
      </w:r>
    </w:p>
    <w:p>
      <w:pPr>
        <w:pStyle w:val="FirstParagraph"/>
      </w:pPr>
      <w:r>
        <w:t xml:space="preserve">Chuyên đề cung cấp năm tuyến bằng chứng lý thuyết cho luận án, được tổ chức quanh khung tích hợp ba lớp</w:t>
      </w:r>
      <w:r>
        <w:t xml:space="preserve"> </w:t>
      </w:r>
      <w:r>
        <w:rPr>
          <w:bCs/>
          <w:b/>
        </w:rPr>
        <w:t xml:space="preserve">CIMT–ICRV–CDCM</w:t>
      </w:r>
      <w:r>
        <w:t xml:space="preserve"> </w:t>
      </w:r>
      <w:r>
        <w:t xml:space="preserve">mà luận án phát triển ở Chương 2 §2.5.</w:t>
      </w:r>
      <w:r>
        <w:t xml:space="preserve"> </w:t>
      </w:r>
      <w:r>
        <w:rPr>
          <w:bCs/>
          <w:b/>
        </w:rPr>
        <w:t xml:space="preserve">Một là</w:t>
      </w:r>
      <w:r>
        <w:t xml:space="preserve"> </w:t>
      </w:r>
      <w:r>
        <w:t xml:space="preserve">bằng chứng tồn tại (existence evidence) cho quan hệ chữ U ngược FSTS–năng suất (H1) qua các điểm uốn đơn quốc gia, mỗi quốc gia là một observable signature của cơ chế CIMT ở một vị trí cụ thể trên dải ICRV.</w:t>
      </w:r>
      <w:r>
        <w:t xml:space="preserve"> </w:t>
      </w:r>
      <w:r>
        <w:rPr>
          <w:bCs/>
          <w:b/>
        </w:rPr>
        <w:t xml:space="preserve">Hai là</w:t>
      </w:r>
      <w:r>
        <w:t xml:space="preserve"> </w:t>
      </w:r>
      <w:r>
        <w:t xml:space="preserve">phát hiện phân nhóm con Advanced (innovation- so với resource-driven) như một dạng biến thể chế kiểu Varieties of Capitalism (Hall &amp; Soskice, 2001), gợi ý tinh chỉnh cho taxonomy ICRV ở lớp thứ hai.</w:t>
      </w:r>
      <w:r>
        <w:t xml:space="preserve"> </w:t>
      </w:r>
      <w:r>
        <w:rPr>
          <w:bCs/>
          <w:b/>
        </w:rPr>
        <w:t xml:space="preserve">Ba là</w:t>
      </w:r>
      <w:r>
        <w:t xml:space="preserve"> </w:t>
      </w:r>
      <w:r>
        <w:t xml:space="preserve">khung Năng lực số phụ thuộc bối cảnh (CDCM) hợp nhất phát hiện Việt Nam và Singapore, đặt trên khung 4 tầng của Verhoef et al. (2021); CDCM được CĐ2 và Chương 2 luận án định vị là lớp</w:t>
      </w:r>
      <w:r>
        <w:t xml:space="preserve"> </w:t>
      </w:r>
      <w:r>
        <w:rPr>
          <w:iCs/>
          <w:i/>
        </w:rPr>
        <w:t xml:space="preserve">signature</w:t>
      </w:r>
      <w:r>
        <w:t xml:space="preserve"> </w:t>
      </w:r>
      <w:r>
        <w:t xml:space="preserve">của CIMT, tức cơ chế institutional-void amplification dưới điều kiện số hóa.</w:t>
      </w:r>
      <w:r>
        <w:t xml:space="preserve"> </w:t>
      </w:r>
      <w:r>
        <w:rPr>
          <w:bCs/>
          <w:b/>
        </w:rPr>
        <w:t xml:space="preserve">Bốn là</w:t>
      </w:r>
      <w:r>
        <w:t xml:space="preserve"> </w:t>
      </w:r>
      <w:r>
        <w:t xml:space="preserve">lý giải hiện tượng đảo dấu cross-regime qua khoảng cách de jure–de facto (Xu, 2024) và chi phí giao dịch thể chế (Coase, 1937; Williamson, 1985), bằng chứng cho cơ chế LoF attenuation (kênh thứ hai của CIMT).</w:t>
      </w:r>
      <w:r>
        <w:t xml:space="preserve"> </w:t>
      </w:r>
      <w:r>
        <w:rPr>
          <w:bCs/>
          <w:b/>
        </w:rPr>
        <w:t xml:space="preserve">Năm là</w:t>
      </w:r>
      <w:r>
        <w:t xml:space="preserve"> </w:t>
      </w:r>
      <w:r>
        <w:t xml:space="preserve">thiết lập điều kiện biên của lý thuyết Uppsala (Johanson &amp; Vahlne, 1977) qua trường hợp SIDS biên, chính là</w:t>
      </w:r>
      <w:r>
        <w:t xml:space="preserve"> </w:t>
      </w:r>
      <w:r>
        <w:rPr>
          <w:iCs/>
          <w:i/>
        </w:rPr>
        <w:t xml:space="preserve">trường hợp cực đoan của CIMT mismatch</w:t>
      </w:r>
      <w:r>
        <w:t xml:space="preserve"> </w:t>
      </w:r>
      <w:r>
        <w:t xml:space="preserve">khi cả ba kênh đồng pha cực đại. Chuyên đề cảnh báo nguy cơ</w:t>
      </w:r>
      <w:r>
        <w:t xml:space="preserve"> </w:t>
      </w:r>
      <w:r>
        <w:t xml:space="preserve">“</w:t>
      </w:r>
      <w:r>
        <w:t xml:space="preserve">digital theatre</w:t>
      </w:r>
      <w:r>
        <w:t xml:space="preserve">”</w:t>
      </w:r>
      <w:r>
        <w:t xml:space="preserve"> </w:t>
      </w:r>
      <w:r>
        <w:t xml:space="preserve">(Verhoef et al., 2021), tức số hóa hình thức không chuyển thành năng suất, và lưu ý mức độ sẵn sàng AI không đồng đều theo Chỉ số Sẵn sàng AI (AI Preparedness Index) giữa các phân nhóm con.</w:t>
      </w:r>
    </w:p>
    <w:bookmarkEnd w:id="36"/>
    <w:bookmarkStart w:id="37" w:name="hàm-ý-phương-pháp-luận"/>
    <w:p>
      <w:pPr>
        <w:pStyle w:val="Heading4"/>
      </w:pPr>
      <w:r>
        <w:t xml:space="preserve">7.3.2 Hàm ý phương pháp luận</w:t>
      </w:r>
    </w:p>
    <w:p>
      <w:pPr>
        <w:pStyle w:val="FirstParagraph"/>
      </w:pPr>
      <w:r>
        <w:t xml:space="preserve">Năm hàm ý phương pháp luận cho CĐ2:</w:t>
      </w:r>
      <w:r>
        <w:t xml:space="preserve"> </w:t>
      </w:r>
      <w:r>
        <w:rPr>
          <w:bCs/>
          <w:b/>
        </w:rPr>
        <w:t xml:space="preserve">(1)</w:t>
      </w:r>
      <w:r>
        <w:t xml:space="preserve"> </w:t>
      </w:r>
      <w:r>
        <w:t xml:space="preserve">dùng hiệu ứng cố định theo</w:t>
      </w:r>
      <w:r>
        <w:t xml:space="preserve"> </w:t>
      </w:r>
      <w:r>
        <w:rPr>
          <w:bCs/>
          <w:b/>
        </w:rPr>
        <w:t xml:space="preserve">tám phân nhóm con</w:t>
      </w:r>
      <w:r>
        <w:t xml:space="preserve"> </w:t>
      </w:r>
      <w:r>
        <w:t xml:space="preserve">(liệt kê ở Mục 4.7(b) file 15) thay cho một hệ số chung, để nắm dị biệt cross-regime;</w:t>
      </w:r>
      <w:r>
        <w:t xml:space="preserve"> </w:t>
      </w:r>
      <w:r>
        <w:rPr>
          <w:bCs/>
          <w:b/>
        </w:rPr>
        <w:t xml:space="preserve">(2)</w:t>
      </w:r>
      <w:r>
        <w:t xml:space="preserve"> </w:t>
      </w:r>
      <w:r>
        <w:t xml:space="preserve">áp dụng lựa chọn hai giai đoạn (2-stage selection) vì quốc tế hóa phân cực mạnh (trung vị FSTS = 0%);</w:t>
      </w:r>
      <w:r>
        <w:t xml:space="preserve"> </w:t>
      </w:r>
      <w:r>
        <w:rPr>
          <w:bCs/>
          <w:b/>
        </w:rPr>
        <w:t xml:space="preserve">(3)</w:t>
      </w:r>
      <w:r>
        <w:t xml:space="preserve"> </w:t>
      </w:r>
      <w:r>
        <w:t xml:space="preserve">tách hai đặc tả mô hình (Spec 1 [Tier-1, full pool] và Spec 2 [Tier-1+2, BREADY 2018+]) để phân biệt biểu hiện giả tạo bão hòa khỏi hiệu ứng thực;</w:t>
      </w:r>
      <w:r>
        <w:t xml:space="preserve"> </w:t>
      </w:r>
      <w:r>
        <w:rPr>
          <w:bCs/>
          <w:b/>
        </w:rPr>
        <w:t xml:space="preserve">(4)</w:t>
      </w:r>
      <w:r>
        <w:t xml:space="preserve"> </w:t>
      </w:r>
      <w:r>
        <w:t xml:space="preserve">triển khai hệ thống cô lập</w:t>
      </w:r>
      <w:r>
        <w:t xml:space="preserve"> </w:t>
      </w:r>
      <w:r>
        <w:t xml:space="preserve">“</w:t>
      </w:r>
      <w:r>
        <w:t xml:space="preserve">triple-defense</w:t>
      </w:r>
      <w:r>
        <w:t xml:space="preserve">”</w:t>
      </w:r>
      <w:r>
        <w:t xml:space="preserve"> </w:t>
      </w:r>
      <w:r>
        <w:t xml:space="preserve">(biến giả Post_BREADY_2024, mô hình neo, panel hậu đại dịch độc lập, Mục 4.11 file 15) để chống đứt gãy schema 2025;</w:t>
      </w:r>
      <w:r>
        <w:t xml:space="preserve"> </w:t>
      </w:r>
      <w:r>
        <w:rPr>
          <w:bCs/>
          <w:b/>
        </w:rPr>
        <w:t xml:space="preserve">(5)</w:t>
      </w:r>
      <w:r>
        <w:t xml:space="preserve"> </w:t>
      </w:r>
      <w:r>
        <w:t xml:space="preserve">đưa khung industry FE 9 ngành cùng các kiểm định mẫu con (Mục 7.3.4) vào thiết kế nhận diện. Bộ tám kiểm định độ vững cốt lõi ở Mục 7.3.4 vận hành hóa các hàm ý này.</w:t>
      </w:r>
    </w:p>
    <w:bookmarkEnd w:id="37"/>
    <w:bookmarkStart w:id="38" w:name="X72d3008b4a85d47be9732498c7193c9047a9dbc"/>
    <w:p>
      <w:pPr>
        <w:pStyle w:val="Heading4"/>
      </w:pPr>
      <w:r>
        <w:t xml:space="preserve">7.3.3 Hàm ý chính sách cho doanh nghiệp Việt Nam và khu vực (chín hàm ý)</w:t>
      </w:r>
    </w:p>
    <w:p>
      <w:pPr>
        <w:pStyle w:val="BlockText"/>
      </w:pPr>
      <w:r>
        <w:t xml:space="preserve">Chín hàm ý chính sách gồm: (1)–(6) sáu hàm ý chính sách cùng bốn đề xuất tái định vị chuỗi giá trị (GVC) cho Việt Nam; (7) hợp tác di chuyển lao động Thái Bình Dương; (8) chính sách số hóa châu Á cho SME; (9) chiến lược phòng ngừa (hedging) bốn nguyên tắc. Dưới đây trình bày các hàm ý (7)–(9).</w:t>
      </w:r>
    </w:p>
    <w:p>
      <w:pPr>
        <w:pStyle w:val="FirstParagraph"/>
      </w:pPr>
      <w:r>
        <w:rPr>
          <w:bCs/>
          <w:b/>
        </w:rPr>
        <w:t xml:space="preserve">(7) Migration labor partnership Pacific cho Việt Nam: bài học từ PLMS Australia + RSE New Zealand</w:t>
      </w:r>
    </w:p>
    <w:p>
      <w:pPr>
        <w:pStyle w:val="BlockText"/>
      </w:pPr>
      <w:r>
        <w:rPr>
          <w:bCs/>
          <w:b/>
        </w:rPr>
        <w:t xml:space="preserve">Bằng chứng nền tảng</w:t>
      </w:r>
      <w:r>
        <w:t xml:space="preserve">: Mục 5.7.5 file 16 (PICs macro context); Bertram (2006) MIRAB model.</w:t>
      </w:r>
    </w:p>
    <w:p>
      <w:pPr>
        <w:pStyle w:val="FirstParagraph"/>
      </w:pPr>
      <w:r>
        <w:t xml:space="preserve">Bốn đề xuất cụ thể cho doanh nghiệp + nhà hoạch định chính sách Việt Nam:</w:t>
      </w:r>
    </w:p>
    <w:p>
      <w:pPr>
        <w:numPr>
          <w:ilvl w:val="0"/>
          <w:numId w:val="1003"/>
        </w:numPr>
      </w:pPr>
      <w:r>
        <w:rPr>
          <w:bCs/>
          <w:b/>
        </w:rPr>
        <w:t xml:space="preserve">Học mô hình PLMS</w:t>
      </w:r>
      <w:r>
        <w:t xml:space="preserve"> </w:t>
      </w:r>
      <w:r>
        <w:rPr>
          <w:iCs/>
          <w:i/>
        </w:rPr>
        <w:t xml:space="preserve">(Australia Pacific Labour Mobility Scheme)</w:t>
      </w:r>
      <w:r>
        <w:t xml:space="preserve">: Australia chương trình PLMS gần 30.000 lao động PICs/năm, làm việc 1-3 năm trong nông nghiệp, chế biến thực phẩm, du lịch. Việt Nam có thể ký song phương MoU với Australia để chương trình tương tự</w:t>
      </w:r>
      <w:r>
        <w:t xml:space="preserve"> </w:t>
      </w:r>
      <w:r>
        <w:rPr>
          <w:bCs/>
          <w:b/>
        </w:rPr>
        <w:t xml:space="preserve">Vietnamese Skilled Worker Mobility Scheme</w:t>
      </w:r>
      <w:r>
        <w:t xml:space="preserve">, tập trung vào nông nghiệp công nghệ cao + chế biến + healthcare aged-care (Australia có nhu cầu cao, dân số già hóa).</w:t>
      </w:r>
    </w:p>
    <w:p>
      <w:pPr>
        <w:numPr>
          <w:ilvl w:val="0"/>
          <w:numId w:val="1003"/>
        </w:numPr>
      </w:pPr>
      <w:r>
        <w:rPr>
          <w:bCs/>
          <w:b/>
        </w:rPr>
        <w:t xml:space="preserve">Học mô hình RSE</w:t>
      </w:r>
      <w:r>
        <w:t xml:space="preserve"> </w:t>
      </w:r>
      <w:r>
        <w:rPr>
          <w:iCs/>
          <w:i/>
        </w:rPr>
        <w:t xml:space="preserve">(New Zealand Recognised Seasonal Employer)</w:t>
      </w:r>
      <w:r>
        <w:t xml:space="preserve">: New Zealand RSE chỉ áp dụng cho viticulture (vườn nho) + horticulture (vườn cây ăn quả) + fishing, với work permits 7 tháng/năm. Việt Nam hợp tác với NZ để mở</w:t>
      </w:r>
      <w:r>
        <w:t xml:space="preserve"> </w:t>
      </w:r>
      <w:r>
        <w:rPr>
          <w:bCs/>
          <w:b/>
        </w:rPr>
        <w:t xml:space="preserve">Aquaculture + Coffee + Cashew Skills Exchange</w:t>
      </w:r>
      <w:r>
        <w:t xml:space="preserve">, leveraging chuyên môn Việt Nam trong các ngành này.</w:t>
      </w:r>
    </w:p>
    <w:p>
      <w:pPr>
        <w:numPr>
          <w:ilvl w:val="0"/>
          <w:numId w:val="1003"/>
        </w:numPr>
      </w:pPr>
      <w:r>
        <w:rPr>
          <w:bCs/>
          <w:b/>
        </w:rPr>
        <w:t xml:space="preserve">Cơ chế remittance corridor digital</w:t>
      </w:r>
      <w:r>
        <w:t xml:space="preserve">: Theo ghi chú phân tích nội bộ của tác giả (2026), remittances từ RSE của Vanuatu chiếm 15-20% GDP, chứng minh tính hiệu quả của mô hình</w:t>
      </w:r>
      <w:r>
        <w:t xml:space="preserve"> </w:t>
      </w:r>
      <w:r>
        <w:t xml:space="preserve">“</w:t>
      </w:r>
      <w:r>
        <w:t xml:space="preserve">labor mobility cộng digital remittance</w:t>
      </w:r>
      <w:r>
        <w:t xml:space="preserve">”</w:t>
      </w:r>
      <w:r>
        <w:t xml:space="preserve">. Việt Nam có thể hợp tác với Wise, Western Union hoặc MoMo để</w:t>
      </w:r>
      <w:r>
        <w:t xml:space="preserve"> </w:t>
      </w:r>
      <w:r>
        <w:rPr>
          <w:bCs/>
          <w:b/>
        </w:rPr>
        <w:t xml:space="preserve">giảm phí remittance từ khoảng 7% xuống dưới 3%</w:t>
      </w:r>
      <w:r>
        <w:t xml:space="preserve"> </w:t>
      </w:r>
      <w:r>
        <w:t xml:space="preserve">cho lao động Việt ở Australia và New Zealand, qua đó tiết kiệm hàng trăm triệu USD mỗi năm. Điều này liên kết với FDI commitment $2,4B có fintech focus ở Mục 5.3 (a).</w:t>
      </w:r>
    </w:p>
    <w:p>
      <w:pPr>
        <w:numPr>
          <w:ilvl w:val="0"/>
          <w:numId w:val="1003"/>
        </w:numPr>
      </w:pPr>
      <w:r>
        <w:rPr>
          <w:bCs/>
          <w:b/>
        </w:rPr>
        <w:t xml:space="preserve">Skills upgrading approach để tránh brain drain</w:t>
      </w:r>
      <w:r>
        <w:t xml:space="preserve">: Migration labor có nguy cơ brain drain nếu chỉ low-skilled. Việt Nam cần đầu tư technical education + ngoại ngữ trước khi gửi đi, theo mô hình Korea Employment Permit System (EPS), tập trung vào ngành cao kỹ + đảm bảo lao động return có vốn + kỹ năng để khởi nghiệp tại Việt Nam (return migration channel).</w:t>
      </w:r>
    </w:p>
    <w:p>
      <w:pPr>
        <w:pStyle w:val="FirstParagraph"/>
      </w:pPr>
      <w:r>
        <w:rPr>
          <w:bCs/>
          <w:b/>
        </w:rPr>
        <w:t xml:space="preserve">(8) Chính sách số hóa Asia cho SME Việt Nam: bài học từ Singapore/Korea/Japan/Trung Quốc</w:t>
      </w:r>
    </w:p>
    <w:p>
      <w:pPr>
        <w:pStyle w:val="BlockText"/>
      </w:pPr>
      <w:r>
        <w:rPr>
          <w:bCs/>
          <w:b/>
        </w:rPr>
        <w:t xml:space="preserve">Bằng chứng nền tảng</w:t>
      </w:r>
      <w:r>
        <w:t xml:space="preserve">: Mục 6.2 về Innovation U-curve digital; Bảng 4.4 file 15 (Website Việt Nam 47% thấp hơn EAP average 58,9%); Mục 5.4 về concentration risk của Trung Quốc theo Wang/Huang/Hong (2024).</w:t>
      </w:r>
    </w:p>
    <w:p>
      <w:pPr>
        <w:pStyle w:val="FirstParagraph"/>
      </w:pPr>
      <w:r>
        <w:t xml:space="preserve">Bốn lộ trình số hóa cho SME Việt Nam tham khảo:</w:t>
      </w:r>
    </w:p>
    <w:p>
      <w:pPr>
        <w:numPr>
          <w:ilvl w:val="0"/>
          <w:numId w:val="1004"/>
        </w:numPr>
      </w:pPr>
      <w:r>
        <w:rPr>
          <w:bCs/>
          <w:b/>
        </w:rPr>
        <w:t xml:space="preserve">Mô hình Singapore và Korea: AI integration full-stack</w:t>
      </w:r>
      <w:r>
        <w:t xml:space="preserve"> </w:t>
      </w:r>
      <w:r>
        <w:rPr>
          <w:iCs/>
          <w:i/>
        </w:rPr>
        <w:t xml:space="preserve">(Tier-3 transformation)</w:t>
      </w:r>
      <w:r>
        <w:t xml:space="preserve">: Singapore SmartNation initiative cùng Korea Digital New Deal đã đạt mức tích hợp AI vào toàn bộ chuỗi value chain, lần lượt từ marketing automation sang CRM intelligence, supply chain optimization rồi financial forecasting. SME Việt Nam còn cách giai đoạn này khá xa, nên</w:t>
      </w:r>
      <w:r>
        <w:t xml:space="preserve"> </w:t>
      </w:r>
      <w:r>
        <w:rPr>
          <w:bCs/>
          <w:b/>
        </w:rPr>
        <w:t xml:space="preserve">không nên copy nguyên mẫu</w:t>
      </w:r>
      <w:r>
        <w:t xml:space="preserve"> </w:t>
      </w:r>
      <w:r>
        <w:t xml:space="preserve">mà nên target</w:t>
      </w:r>
      <w:r>
        <w:t xml:space="preserve"> </w:t>
      </w:r>
      <w:r>
        <w:rPr>
          <w:bCs/>
          <w:b/>
        </w:rPr>
        <w:t xml:space="preserve">Tier-2 first</w:t>
      </w:r>
      <w:r>
        <w:t xml:space="preserve"> </w:t>
      </w:r>
      <w:r>
        <w:t xml:space="preserve">(xem điểm (d) dưới đây).</w:t>
      </w:r>
    </w:p>
    <w:p>
      <w:pPr>
        <w:numPr>
          <w:ilvl w:val="0"/>
          <w:numId w:val="1004"/>
        </w:numPr>
      </w:pPr>
      <w:r>
        <w:rPr>
          <w:bCs/>
          <w:b/>
        </w:rPr>
        <w:t xml:space="preserve">Mô hình Japan: 60% DN dùng AI back-office</w:t>
      </w:r>
      <w:r>
        <w:t xml:space="preserve"> </w:t>
      </w:r>
      <w:r>
        <w:rPr>
          <w:iCs/>
          <w:i/>
        </w:rPr>
        <w:t xml:space="preserve">(Tier-2 productive transformation)</w:t>
      </w:r>
      <w:r>
        <w:t xml:space="preserve">: Japan đã đạt 60% doanh nghiệp dùng AI cho back-office tasks (accounting automation, HR scheduling, customer service chatbots). Đây là</w:t>
      </w:r>
      <w:r>
        <w:t xml:space="preserve"> </w:t>
      </w:r>
      <w:r>
        <w:rPr>
          <w:bCs/>
          <w:b/>
        </w:rPr>
        <w:t xml:space="preserve">realistic target cho SME Việt Nam 2026-2030</w:t>
      </w:r>
      <w:r>
        <w:t xml:space="preserve">: không cần AI cutting-edge, chỉ cần AI applied cho efficiency gains. Khuyến nghị: chính phủ tài trợ</w:t>
      </w:r>
      <w:r>
        <w:t xml:space="preserve"> </w:t>
      </w:r>
      <w:r>
        <w:rPr>
          <w:bCs/>
          <w:b/>
        </w:rPr>
        <w:t xml:space="preserve">AI Adoption Voucher Program</w:t>
      </w:r>
      <w:r>
        <w:t xml:space="preserve"> </w:t>
      </w:r>
      <w:r>
        <w:t xml:space="preserve">cho SME (~50 triệu VND/firm) để mua off-the-shelf AI tools (Microsoft Copilot, Notion AI, Make.com).</w:t>
      </w:r>
    </w:p>
    <w:p>
      <w:pPr>
        <w:numPr>
          <w:ilvl w:val="0"/>
          <w:numId w:val="1004"/>
        </w:numPr>
      </w:pPr>
      <w:r>
        <w:rPr>
          <w:bCs/>
          <w:b/>
        </w:rPr>
        <w:t xml:space="preserve">Mô hình Trung Quốc: sản xuất thông minh kèm cảnh báo rủi ro tập trung (smart manufacturing và concentration risk warning)</w:t>
      </w:r>
      <w:r>
        <w:t xml:space="preserve"> </w:t>
      </w:r>
      <w:r>
        <w:rPr>
          <w:iCs/>
          <w:i/>
        </w:rPr>
        <w:t xml:space="preserve">(Tier-2/3 hybrid kèm cảnh báo)</w:t>
      </w:r>
      <w:r>
        <w:t xml:space="preserve">: Trung Quốc dẫn đầu châu Á về</w:t>
      </w:r>
      <w:r>
        <w:t xml:space="preserve"> </w:t>
      </w:r>
      <w:r>
        <w:rPr>
          <w:bCs/>
          <w:b/>
        </w:rPr>
        <w:t xml:space="preserve">sản xuất thông minh (smart manufacturing)</w:t>
      </w:r>
      <w:r>
        <w:t xml:space="preserve"> </w:t>
      </w:r>
      <w:r>
        <w:t xml:space="preserve">với chuẩn Công nghiệp 4.0 (Industry 4.0 standards), điển hình là Foxconn Thâm Quyến, BYD và Geely. Tuy nhiên, việc</w:t>
      </w:r>
      <w:r>
        <w:t xml:space="preserve"> </w:t>
      </w:r>
      <w:r>
        <w:rPr>
          <w:bCs/>
          <w:b/>
        </w:rPr>
        <w:t xml:space="preserve">80% mô hình rủi ro ngân hàng (bank risk models) của PRC phụ thuộc vào nhà cung cấp công nghệ lớn (dominant tech providers)</w:t>
      </w:r>
      <w:r>
        <w:t xml:space="preserve"> </w:t>
      </w:r>
      <w:r>
        <w:t xml:space="preserve">(Wang/Huang/Hong, 2024,</w:t>
      </w:r>
      <w:r>
        <w:t xml:space="preserve"> </w:t>
      </w:r>
      <w:r>
        <w:rPr>
          <w:iCs/>
          <w:i/>
        </w:rPr>
        <w:t xml:space="preserve">IRFA</w:t>
      </w:r>
      <w:r>
        <w:t xml:space="preserve">) tạo nên</w:t>
      </w:r>
      <w:r>
        <w:t xml:space="preserve"> </w:t>
      </w:r>
      <w:r>
        <w:rPr>
          <w:bCs/>
          <w:b/>
        </w:rPr>
        <w:t xml:space="preserve">rủi ro tập trung (concentration risk)</w:t>
      </w:r>
      <w:r>
        <w:t xml:space="preserve"> </w:t>
      </w:r>
      <w:r>
        <w:t xml:space="preserve">cao. Việt Nam cần học mặt tích cực là lộ trình sản xuất thông minh, nhưng phải</w:t>
      </w:r>
      <w:r>
        <w:t xml:space="preserve"> </w:t>
      </w:r>
      <w:r>
        <w:rPr>
          <w:bCs/>
          <w:b/>
        </w:rPr>
        <w:t xml:space="preserve">TRÁNH lệ thuộc cứng (lock-in)</w:t>
      </w:r>
      <w:r>
        <w:t xml:space="preserve"> </w:t>
      </w:r>
      <w:r>
        <w:t xml:space="preserve">vào một nhà cung cấp ngoại đơn lẻ, đồng thời đẩy mạnh</w:t>
      </w:r>
      <w:r>
        <w:t xml:space="preserve"> </w:t>
      </w:r>
      <w:r>
        <w:rPr>
          <w:bCs/>
          <w:b/>
        </w:rPr>
        <w:t xml:space="preserve">tiêu chuẩn mở (open standards)</w:t>
      </w:r>
      <w:r>
        <w:t xml:space="preserve"> </w:t>
      </w:r>
      <w:r>
        <w:t xml:space="preserve">và</w:t>
      </w:r>
      <w:r>
        <w:t xml:space="preserve"> </w:t>
      </w:r>
      <w:r>
        <w:rPr>
          <w:bCs/>
          <w:b/>
        </w:rPr>
        <w:t xml:space="preserve">mua sắm đa nhà cung cấp (multi-vendor procurement)</w:t>
      </w:r>
      <w:r>
        <w:t xml:space="preserve"> </w:t>
      </w:r>
      <w:r>
        <w:t xml:space="preserve">cho FDI sản xuất chế biến.</w:t>
      </w:r>
    </w:p>
    <w:p>
      <w:pPr>
        <w:numPr>
          <w:ilvl w:val="0"/>
          <w:numId w:val="1004"/>
        </w:numPr>
      </w:pPr>
      <w:r>
        <w:rPr>
          <w:bCs/>
          <w:b/>
        </w:rPr>
        <w:t xml:space="preserve">Mô hình ưu tiên cho SME Việt Nam: digital payment + social commerce</w:t>
      </w:r>
      <w:r>
        <w:t xml:space="preserve"> </w:t>
      </w:r>
      <w:r>
        <w:rPr>
          <w:iCs/>
          <w:i/>
        </w:rPr>
        <w:t xml:space="preserve">(Tier-1.5 Vietnamese-specific)</w:t>
      </w:r>
      <w:r>
        <w:t xml:space="preserve">: Việt Nam có lợi thế đặc biệt: VietQR ecosystem + mobile payment (MoMo, ZaloPay, ViettelPay) + social commerce qua TikTok/Facebook (&gt;200 triệu user trong khu vực). SME Việt Nam nên ưu tiên 4 layer:</w:t>
      </w:r>
    </w:p>
    <w:p>
      <w:pPr>
        <w:numPr>
          <w:ilvl w:val="0"/>
          <w:numId w:val="1005"/>
        </w:numPr>
        <w:pStyle w:val="Compact"/>
      </w:pPr>
      <w:r>
        <w:rPr>
          <w:bCs/>
          <w:b/>
        </w:rPr>
        <w:t xml:space="preserve">Digital payment integration</w:t>
      </w:r>
      <w:r>
        <w:t xml:space="preserve">: accept mọi loại payment qua VietQR (đã miễn phí 100%, không như credit card 2-3%)</w:t>
      </w:r>
    </w:p>
    <w:p>
      <w:pPr>
        <w:numPr>
          <w:ilvl w:val="0"/>
          <w:numId w:val="1005"/>
        </w:numPr>
        <w:pStyle w:val="Compact"/>
      </w:pPr>
      <w:r>
        <w:rPr>
          <w:bCs/>
          <w:b/>
        </w:rPr>
        <w:t xml:space="preserve">Social commerce optimization</w:t>
      </w:r>
      <w:r>
        <w:t xml:space="preserve">: Facebook Live + TikTok Shop là kênh bán hàng chính cho retail SME</w:t>
      </w:r>
    </w:p>
    <w:p>
      <w:pPr>
        <w:numPr>
          <w:ilvl w:val="0"/>
          <w:numId w:val="1005"/>
        </w:numPr>
        <w:pStyle w:val="Compact"/>
      </w:pPr>
      <w:r>
        <w:rPr>
          <w:bCs/>
          <w:b/>
        </w:rPr>
        <w:t xml:space="preserve">Cross-border e-commerce</w:t>
      </w:r>
      <w:r>
        <w:t xml:space="preserve">: Shopee Asia Pacific + Amazon Vietnam Sellers Program để xuất khẩu micro</w:t>
      </w:r>
    </w:p>
    <w:p>
      <w:pPr>
        <w:numPr>
          <w:ilvl w:val="0"/>
          <w:numId w:val="1005"/>
        </w:numPr>
        <w:pStyle w:val="Compact"/>
      </w:pPr>
      <w:r>
        <w:rPr>
          <w:bCs/>
          <w:b/>
        </w:rPr>
        <w:t xml:space="preserve">Cloud + basic AI tools</w:t>
      </w:r>
      <w:r>
        <w:t xml:space="preserve">: Google Workspace + Microsoft 365 + Make.com automation</w:t>
      </w:r>
      <w:r>
        <w:t xml:space="preserve"> </w:t>
      </w:r>
      <w:r>
        <w:t xml:space="preserve">Tựu trung, đây là mức</w:t>
      </w:r>
      <w:r>
        <w:t xml:space="preserve"> </w:t>
      </w:r>
      <w:r>
        <w:rPr>
          <w:bCs/>
          <w:b/>
        </w:rPr>
        <w:t xml:space="preserve">Tier-1.5</w:t>
      </w:r>
      <w:r>
        <w:t xml:space="preserve">, vượt website thụ động (Tier-1) nhưng chưa đến full-stack AI (Tier-2/3), phù hợp với pattern thực tế của Việt Nam và mức R&amp;D 6,1%.</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Digital_Tier_Vietnam</w:t>
      </w:r>
      <w:r>
        <w:t xml:space="preserve"> </w:t>
      </w:r>
      <w:r>
        <w:t xml:space="preserve">với 4 cấp (Tier-1 website, Tier-1.5 digital payment cộng social commerce, Tier-2 productive AI, Tier-3 full-stack AI) nhằm kiểm tra xem mỗi tier có productivity payoff khác nhau hay không. Kỳ vọng đặt ra là Tier-1 không tăng thêm productivity vì đã saturated; Tier-1.5 tăng productivity ở các nền kinh tế do SME dẫn dắt (VN, IDN, PHL); Tier-2 tăng productivity ở Manufacturing; còn Tier-3 tăng productivity ở ICT và Finance.</w:t>
      </w:r>
    </w:p>
    <w:p>
      <w:pPr>
        <w:pStyle w:val="BodyText"/>
      </w:pPr>
      <w:r>
        <w:rPr>
          <w:bCs/>
          <w:b/>
        </w:rPr>
        <w:t xml:space="preserve">(9) Hedging strategy: đa dạng hóa thị trường + buffer inventory + higher-value FDI partnership + financial hedging</w:t>
      </w:r>
    </w:p>
    <w:p>
      <w:pPr>
        <w:pStyle w:val="BlockText"/>
      </w:pPr>
      <w:r>
        <w:rPr>
          <w:bCs/>
          <w:b/>
        </w:rPr>
        <w:t xml:space="preserve">Bằng chứng nền tảng</w:t>
      </w:r>
      <w:r>
        <w:t xml:space="preserve">: Lớp 7 ở Mục 1.1 file 14 (bất định chính sách thuế quan Mỹ 2026); Mục 6 (front-loading effect và tariff uncertainty); Mục 5.3 (năm rủi ro Việt Nam).</w:t>
      </w:r>
    </w:p>
    <w:p>
      <w:pPr>
        <w:pStyle w:val="FirstParagraph"/>
      </w:pPr>
      <w:r>
        <w:t xml:space="preserve">Trong bối cảnh Mỹ chiếm xấp xỉ 30% kim ngạch xuất khẩu Việt Nam và bất định chính sách thuế quan 2026 gây áp lực kép (front-loading + trì hoãn đầu tư + phân hóa lớn vs SME), doanh nghiệp Việt Nam cần</w:t>
      </w:r>
      <w:r>
        <w:t xml:space="preserve"> </w:t>
      </w:r>
      <w:r>
        <w:rPr>
          <w:bCs/>
          <w:b/>
        </w:rPr>
        <w:t xml:space="preserve">hedging strategy 4 nguyên tắc</w:t>
      </w:r>
      <w:r>
        <w:t xml:space="preserve">:</w:t>
      </w:r>
    </w:p>
    <w:p>
      <w:pPr>
        <w:numPr>
          <w:ilvl w:val="0"/>
          <w:numId w:val="1006"/>
        </w:numPr>
        <w:pStyle w:val="Compact"/>
      </w:pPr>
      <w:r>
        <w:rPr>
          <w:bCs/>
          <w:b/>
        </w:rPr>
        <w:t xml:space="preserve">Đa dạng hóa thị trường: giảm phụ thuộc Mỹ ~30% qua 5 hành lang thay thế</w:t>
      </w:r>
      <w:r>
        <w:t xml:space="preserve">:</w:t>
      </w:r>
    </w:p>
    <w:p>
      <w:pPr>
        <w:numPr>
          <w:ilvl w:val="0"/>
          <w:numId w:val="1007"/>
        </w:numPr>
        <w:pStyle w:val="Compact"/>
      </w:pPr>
      <w:r>
        <w:rPr>
          <w:bCs/>
          <w:b/>
        </w:rPr>
        <w:t xml:space="preserve">RCEP</w:t>
      </w:r>
      <w:r>
        <w:t xml:space="preserve"> </w:t>
      </w:r>
      <w:r>
        <w:t xml:space="preserve">(Regional Comprehensive Economic Partnership): 15 thành viên gồm ASEAN+5 (China, Japan, Korea, Australia, New Zealand), tổng GDP $26 ngàn tỷ, đối trọng lớn với Mỹ</w:t>
      </w:r>
    </w:p>
    <w:p>
      <w:pPr>
        <w:numPr>
          <w:ilvl w:val="0"/>
          <w:numId w:val="1007"/>
        </w:numPr>
        <w:pStyle w:val="Compact"/>
      </w:pPr>
      <w:r>
        <w:rPr>
          <w:bCs/>
          <w:b/>
        </w:rPr>
        <w:t xml:space="preserve">CPTPP</w:t>
      </w:r>
      <w:r>
        <w:t xml:space="preserve"> </w:t>
      </w:r>
      <w:r>
        <w:t xml:space="preserve">(Comprehensive and Progressive Trans-Pacific Partnership): 11 thành viên (Singapore, Japan, Australia, NZ, Mexico, Canada, Chile, Peru, Brunei, Malaysia, Việt Nam), phân khúc cao cấp + dịch vụ</w:t>
      </w:r>
    </w:p>
    <w:p>
      <w:pPr>
        <w:numPr>
          <w:ilvl w:val="0"/>
          <w:numId w:val="1007"/>
        </w:numPr>
        <w:pStyle w:val="Compact"/>
      </w:pPr>
      <w:r>
        <w:rPr>
          <w:bCs/>
          <w:b/>
        </w:rPr>
        <w:t xml:space="preserve">ACFTA</w:t>
      </w:r>
      <w:r>
        <w:t xml:space="preserve"> </w:t>
      </w:r>
      <w:r>
        <w:t xml:space="preserve">(ASEAN-China Free Trade Area): đặc biệt cho electronics + textiles + agricultural</w:t>
      </w:r>
    </w:p>
    <w:p>
      <w:pPr>
        <w:numPr>
          <w:ilvl w:val="0"/>
          <w:numId w:val="1007"/>
        </w:numPr>
        <w:pStyle w:val="Compact"/>
      </w:pPr>
      <w:r>
        <w:rPr>
          <w:bCs/>
          <w:b/>
        </w:rPr>
        <w:t xml:space="preserve">GCC partnership</w:t>
      </w:r>
      <w:r>
        <w:t xml:space="preserve"> </w:t>
      </w:r>
      <w:r>
        <w:t xml:space="preserve">(Gulf Cooperation Council, gồm Saudi/Qatar/UAE/Kuwait/Bahrain/Oman): đa dạng hóa sang Trung Đông sau xung đột giảm áp lực</w:t>
      </w:r>
    </w:p>
    <w:p>
      <w:pPr>
        <w:numPr>
          <w:ilvl w:val="0"/>
          <w:numId w:val="1007"/>
        </w:numPr>
        <w:pStyle w:val="Compact"/>
      </w:pPr>
      <w:r>
        <w:rPr>
          <w:bCs/>
          <w:b/>
        </w:rPr>
        <w:t xml:space="preserve">India trade corridor</w:t>
      </w:r>
      <w:r>
        <w:t xml:space="preserve">: thông qua India-Vietnam Comprehensive Strategic Partnership 2024, thị trường 1,4 tỷ dân tăng nhanh</w:t>
      </w:r>
    </w:p>
    <w:p>
      <w:pPr>
        <w:pStyle w:val="FirstParagraph"/>
      </w:pPr>
      <w:r>
        <w:t xml:space="preserve">Mục tiêu là giảm tỷ trọng xuất khẩu sang Mỹ từ 30% xuống còn 22-25% trong 2026-2030.</w:t>
      </w:r>
    </w:p>
    <w:p>
      <w:pPr>
        <w:numPr>
          <w:ilvl w:val="0"/>
          <w:numId w:val="1008"/>
        </w:numPr>
        <w:pStyle w:val="Compact"/>
      </w:pPr>
      <w:r>
        <w:rPr>
          <w:bCs/>
          <w:b/>
        </w:rPr>
        <w:t xml:space="preserve">Lập kế hoạch đẩy nhanh giao hàng + tồn kho dự phòng (front-loading planning + buffer inventory)</w:t>
      </w:r>
      <w:r>
        <w:t xml:space="preserve">, đối phó với bất định chính sách thuế quan:</w:t>
      </w:r>
    </w:p>
    <w:p>
      <w:pPr>
        <w:numPr>
          <w:ilvl w:val="0"/>
          <w:numId w:val="1009"/>
        </w:numPr>
        <w:pStyle w:val="Compact"/>
      </w:pPr>
      <w:r>
        <w:rPr>
          <w:bCs/>
          <w:b/>
        </w:rPr>
        <w:t xml:space="preserve">Lập kế hoạch đẩy nhanh giao hàng (front-load planning)</w:t>
      </w:r>
      <w:r>
        <w:t xml:space="preserve">: doanh nghiệp xuất khẩu lớn lập kế hoạch giao hàng quý 1-2 2026 để tận dụng cửa sổ thuế 10%, KHÔNG vi phạm quy tắc chống bán phá giá (anti-dumping rules) vì là phản ứng chính sách (policy response)</w:t>
      </w:r>
    </w:p>
    <w:p>
      <w:pPr>
        <w:numPr>
          <w:ilvl w:val="0"/>
          <w:numId w:val="1009"/>
        </w:numPr>
        <w:pStyle w:val="Compact"/>
      </w:pPr>
      <w:r>
        <w:rPr>
          <w:bCs/>
          <w:b/>
        </w:rPr>
        <w:t xml:space="preserve">Tồn kho dự phòng (buffer inventory)</w:t>
      </w:r>
      <w:r>
        <w:t xml:space="preserve"> </w:t>
      </w:r>
      <w:r>
        <w:t xml:space="preserve">ở thị trường Mỹ: duy trì</w:t>
      </w:r>
      <w:r>
        <w:t xml:space="preserve"> </w:t>
      </w:r>
      <w:r>
        <w:rPr>
          <w:bCs/>
          <w:b/>
        </w:rPr>
        <w:t xml:space="preserve">kho ngoại quan (warehouse)</w:t>
      </w:r>
      <w:r>
        <w:t xml:space="preserve"> </w:t>
      </w:r>
      <w:r>
        <w:t xml:space="preserve">với 60-90 ngày tồn kho để chống chịu gián đoạn ngắn hạn</w:t>
      </w:r>
    </w:p>
    <w:p>
      <w:pPr>
        <w:numPr>
          <w:ilvl w:val="0"/>
          <w:numId w:val="1009"/>
        </w:numPr>
        <w:pStyle w:val="Compact"/>
      </w:pPr>
      <w:r>
        <w:rPr>
          <w:bCs/>
          <w:b/>
        </w:rPr>
        <w:t xml:space="preserve">Tái cấu trúc hợp đồng (contract restructuring)</w:t>
      </w:r>
      <w:r>
        <w:t xml:space="preserve">: chuyển sang hợp đồng định giá bằng USD (USD-denominated contracts) với</w:t>
      </w:r>
      <w:r>
        <w:t xml:space="preserve"> </w:t>
      </w:r>
      <w:r>
        <w:rPr>
          <w:bCs/>
          <w:b/>
        </w:rPr>
        <w:t xml:space="preserve">điều khoản tối huệ quốc (Most-Favored-Nation, MFN clauses)</w:t>
      </w:r>
      <w:r>
        <w:t xml:space="preserve"> </w:t>
      </w:r>
      <w:r>
        <w:t xml:space="preserve">để bảo vệ trước thay đổi thuế quan có hiệu lực hồi tố (retroactive tariff changes)</w:t>
      </w:r>
    </w:p>
    <w:p>
      <w:pPr>
        <w:numPr>
          <w:ilvl w:val="0"/>
          <w:numId w:val="1010"/>
        </w:numPr>
        <w:pStyle w:val="Compact"/>
      </w:pPr>
      <w:r>
        <w:rPr>
          <w:bCs/>
          <w:b/>
        </w:rPr>
        <w:t xml:space="preserve">Higher-value FDI partnership thay cho assembly</w:t>
      </w:r>
      <w:r>
        <w:t xml:space="preserve">, học từ GVC re-positioning ở Mục 5.3 (d):</w:t>
      </w:r>
    </w:p>
    <w:p>
      <w:pPr>
        <w:numPr>
          <w:ilvl w:val="0"/>
          <w:numId w:val="1011"/>
        </w:numPr>
        <w:pStyle w:val="Compact"/>
      </w:pPr>
      <w:r>
        <w:rPr>
          <w:bCs/>
          <w:b/>
        </w:rPr>
        <w:t xml:space="preserve">TRÁNH</w:t>
      </w:r>
      <w:r>
        <w:t xml:space="preserve"> </w:t>
      </w:r>
      <w:r>
        <w:t xml:space="preserve">assembly-only FDI (low value-added, high tariff vulnerability) như assembly mass-production của Foxconn hay Samsung;</w:t>
      </w:r>
    </w:p>
    <w:p>
      <w:pPr>
        <w:numPr>
          <w:ilvl w:val="0"/>
          <w:numId w:val="1011"/>
        </w:numPr>
        <w:pStyle w:val="Compact"/>
      </w:pPr>
      <w:r>
        <w:rPr>
          <w:bCs/>
          <w:b/>
        </w:rPr>
        <w:t xml:space="preserve">ƯU TIÊN</w:t>
      </w:r>
      <w:r>
        <w:t xml:space="preserve"> </w:t>
      </w:r>
      <w:r>
        <w:t xml:space="preserve">R&amp;D và design FDI partnership, chẳng hạn mô hình Singapore Pacific Tech Park hay Korean semiconductor packaging tại Hà Nội;</w:t>
      </w:r>
    </w:p>
    <w:p>
      <w:pPr>
        <w:numPr>
          <w:ilvl w:val="0"/>
          <w:numId w:val="1011"/>
        </w:numPr>
        <w:pStyle w:val="Compact"/>
      </w:pPr>
      <w:r>
        <w:rPr>
          <w:bCs/>
          <w:b/>
        </w:rPr>
        <w:t xml:space="preserve">Mục tiêu</w:t>
      </w:r>
      <w:r>
        <w:t xml:space="preserve">: tăng value-added per export USD từ khoảng 30% hiện tại lên 45-50% trong 2026-2030, phù hợp với Vietnam_HighValue_FDI_2026 (xem hàm ý CĐ2 ở Mục 5.3).</w:t>
      </w:r>
    </w:p>
    <w:p>
      <w:pPr>
        <w:numPr>
          <w:ilvl w:val="0"/>
          <w:numId w:val="1012"/>
        </w:numPr>
        <w:pStyle w:val="Compact"/>
      </w:pPr>
      <w:r>
        <w:rPr>
          <w:bCs/>
          <w:b/>
        </w:rPr>
        <w:t xml:space="preserve">Phòng ngừa tài chính cho rủi ro tỷ giá USD/VND (financial hedging)</w:t>
      </w:r>
      <w:r>
        <w:t xml:space="preserve">:</w:t>
      </w:r>
    </w:p>
    <w:p>
      <w:pPr>
        <w:numPr>
          <w:ilvl w:val="0"/>
          <w:numId w:val="1013"/>
        </w:numPr>
        <w:pStyle w:val="Compact"/>
      </w:pPr>
      <w:r>
        <w:rPr>
          <w:bCs/>
          <w:b/>
        </w:rPr>
        <w:t xml:space="preserve">Phòng ngừa rủi ro ngoại hối (forex hedging)</w:t>
      </w:r>
      <w:r>
        <w:t xml:space="preserve">:</w:t>
      </w:r>
      <w:r>
        <w:t xml:space="preserve"> </w:t>
      </w:r>
      <w:r>
        <w:rPr>
          <w:bCs/>
          <w:b/>
        </w:rPr>
        <w:t xml:space="preserve">hợp đồng kỳ hạn (forward contracts)</w:t>
      </w:r>
      <w:r>
        <w:t xml:space="preserve"> </w:t>
      </w:r>
      <w:r>
        <w:t xml:space="preserve">+</w:t>
      </w:r>
      <w:r>
        <w:t xml:space="preserve"> </w:t>
      </w:r>
      <w:r>
        <w:rPr>
          <w:bCs/>
          <w:b/>
        </w:rPr>
        <w:t xml:space="preserve">hoán đổi tiền tệ (currency swaps)</w:t>
      </w:r>
      <w:r>
        <w:t xml:space="preserve"> </w:t>
      </w:r>
      <w:r>
        <w:t xml:space="preserve">cho doanh nghiệp xuất khẩu trên 1 triệu USD/năm</w:t>
      </w:r>
    </w:p>
    <w:p>
      <w:pPr>
        <w:numPr>
          <w:ilvl w:val="0"/>
          <w:numId w:val="1013"/>
        </w:numPr>
        <w:pStyle w:val="Compact"/>
      </w:pPr>
      <w:r>
        <w:rPr>
          <w:bCs/>
          <w:b/>
        </w:rPr>
        <w:t xml:space="preserve">Khoản phải thu đa tiền tệ (multi-currency receivables)</w:t>
      </w:r>
      <w:r>
        <w:t xml:space="preserve">: lập</w:t>
      </w:r>
      <w:r>
        <w:t xml:space="preserve"> </w:t>
      </w:r>
      <w:r>
        <w:rPr>
          <w:bCs/>
          <w:b/>
        </w:rPr>
        <w:t xml:space="preserve">hóa đơn đa tiền tệ (multi-currency invoicing)</w:t>
      </w:r>
      <w:r>
        <w:t xml:space="preserve"> </w:t>
      </w:r>
      <w:r>
        <w:t xml:space="preserve">với tỷ lệ 30% EUR + 30% JPY + 40% USD để giảm phơi nhiễm USD (dollar exposure)</w:t>
      </w:r>
    </w:p>
    <w:p>
      <w:pPr>
        <w:numPr>
          <w:ilvl w:val="0"/>
          <w:numId w:val="1013"/>
        </w:numPr>
        <w:pStyle w:val="Compact"/>
      </w:pPr>
      <w:r>
        <w:rPr>
          <w:bCs/>
          <w:b/>
        </w:rPr>
        <w:t xml:space="preserve">Hợp tác phòng ngừa giữa các ngân hàng (bank consortium hedging)</w:t>
      </w:r>
      <w:r>
        <w:t xml:space="preserve">: Vietcombank + BIDV + Techcombank lập hợp tác cung cấp sản phẩm phòng ngừa chi phí thấp cho SME (~0,5-1% giá trị danh nghĩa, notional vs 1,5-2% hiện tại)</w:t>
      </w:r>
    </w:p>
    <w:p>
      <w:pPr>
        <w:numPr>
          <w:ilvl w:val="0"/>
          <w:numId w:val="1013"/>
        </w:numPr>
        <w:pStyle w:val="Compact"/>
      </w:pPr>
      <w:r>
        <w:rPr>
          <w:bCs/>
          <w:b/>
        </w:rPr>
        <w:t xml:space="preserve">Phòng ngừa thông qua công nghệ tài chính (fintech-enabled hedging)</w:t>
      </w:r>
      <w:r>
        <w:t xml:space="preserve">: tận dụng MoMo + ZaloPay + ViettelPay với nhà cung cấp thanh khoản đặt tại Singapore (Singapore-based liquidity providers: Wise, Currencycloud)</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Hedging_Capability_Index</w:t>
      </w:r>
      <w:r>
        <w:t xml:space="preserve"> </w:t>
      </w:r>
      <w:r>
        <w:t xml:space="preserve">(proxy: market diversification HHI + buffer inventory days + forex hedging ratio + multi-currency invoicing %) để test xem doanh nghiệp có hedging capability cao có productivity payoff dài hạn ổn định hơn không (vs short-term boost rồi exhaustion). Robustness check #9 (hedging-adjusted), bổ sung sau front-loading-adjusted (#8).</w:t>
      </w:r>
    </w:p>
    <w:bookmarkEnd w:id="38"/>
    <w:bookmarkStart w:id="39" w:name="X57ab092dce38661557cf0c1a1da66622616be93"/>
    <w:p>
      <w:pPr>
        <w:pStyle w:val="Heading4"/>
      </w:pPr>
      <w:r>
        <w:t xml:space="preserve">7.3.4 Hàm ý cho Chuyên đề 2 và luận án — tám kiểm định độ vững cốt lõi</w:t>
      </w:r>
    </w:p>
    <w:p>
      <w:pPr>
        <w:pStyle w:val="FirstParagraph"/>
      </w:pPr>
      <w:r>
        <w:t xml:space="preserve">Phân tích mô tả của CĐ1 phát hiện một số biểu hiện giả tạo thống kê (statistical artifact), đặc biệt là hệ số âm DAI ở Advanced do bão hòa Tier-1, đứt gãy schema BREADY 2025, và dị biệt nội bộ phân nhóm con; điều này đòi hỏi CĐ2 phải kiểm chứng kết quả qua một bộ kiểm định độ vững (robustness check) có hệ thống. Dưới đây là</w:t>
      </w:r>
      <w:r>
        <w:t xml:space="preserve"> </w:t>
      </w:r>
      <w:r>
        <w:rPr>
          <w:bCs/>
          <w:b/>
        </w:rPr>
        <w:t xml:space="preserve">tám kiểm định độ vững cốt lõi</w:t>
      </w:r>
      <w:r>
        <w:t xml:space="preserve"> </w:t>
      </w:r>
      <w:r>
        <w:t xml:space="preserve">mà mô hình kiểm định của CĐ2 cần thực hiện, mỗi kiểm định gắn với một mối đe dọa nội tại cụ thể được CĐ1 nhận diện:</w:t>
      </w:r>
    </w:p>
    <w:p>
      <w:pPr>
        <w:numPr>
          <w:ilvl w:val="0"/>
          <w:numId w:val="1014"/>
        </w:numPr>
      </w:pPr>
      <w:r>
        <w:rPr>
          <w:bCs/>
          <w:b/>
        </w:rPr>
        <w:t xml:space="preserve">Mẫu phụ chỉ ngành chế biến chế tạo (Manufacturing-only subsample)</w:t>
      </w:r>
      <w:r>
        <w:t xml:space="preserve">. Ước lượng lại mô hình chính chỉ trên các doanh nghiệp ngành C (ISIC Rev. 4), tách thêm high-tech so với low-tech theo phân loại Kafouros et al. (2023). Mục đích: kiểm tra xem quan hệ chữ U ngược FSTS–năng suất (H1) có ổn định khi loại trừ dị biệt cơ cấu ngành dịch vụ và khai khoáng hay không. Đe dọa được xử lý: nhiễu cơ cấu ngành (Bảng 4.8.1).</w:t>
      </w:r>
    </w:p>
    <w:p>
      <w:pPr>
        <w:numPr>
          <w:ilvl w:val="0"/>
          <w:numId w:val="1014"/>
        </w:numPr>
      </w:pPr>
      <w:r>
        <w:rPr>
          <w:bCs/>
          <w:b/>
        </w:rPr>
        <w:t xml:space="preserve">Kiểm định loại trừ ICT (ICT exclusion test)</w:t>
      </w:r>
      <w:r>
        <w:t xml:space="preserve">. Loại các doanh nghiệp mã ISIC J (58–63) khỏi phân nhóm con Advanced đổi mới sáng tạo dẫn dắt rồi ước lượng lại hệ số DAI. Mục đích: xác nhận rằng hệ số âm DAI −0,129 ở Advanced trong Spec 1 là biểu hiện giả tạo do bão hòa Tier-1 chứ không phải hiệu ứng kinh tế thực (H3). Bằng chứng CĐ1 (Mục 4.4.5 file 15): hệ số âm biến mất sau khi loại ICT.</w:t>
      </w:r>
    </w:p>
    <w:p>
      <w:pPr>
        <w:numPr>
          <w:ilvl w:val="0"/>
          <w:numId w:val="1014"/>
        </w:numPr>
      </w:pPr>
      <w:r>
        <w:rPr>
          <w:bCs/>
          <w:b/>
        </w:rPr>
        <w:t xml:space="preserve">Tách ngành du lịch và khách sạn cho SIDS (Tourism/Hotels separation)</w:t>
      </w:r>
      <w:r>
        <w:t xml:space="preserve">. Tách riêng các doanh nghiệp ISIC I (55–56) ở SIDS Thái Bình Dương để kiểm tra xem tỷ lệ FDI ≥10% cao bất thường ở SIDS (23,5%, Bảng 4.5) có do du lịch dẫn dắt bởi doanh nghiệp đa quốc gia hay không. Mục đích: cô lập trường hợp biên H6 khỏi nhiễu ngành dịch vụ du lịch.</w:t>
      </w:r>
    </w:p>
    <w:p>
      <w:pPr>
        <w:numPr>
          <w:ilvl w:val="0"/>
          <w:numId w:val="1014"/>
        </w:numPr>
      </w:pPr>
      <w:r>
        <w:rPr>
          <w:bCs/>
          <w:b/>
        </w:rPr>
        <w:t xml:space="preserve">Mẫu phụ ngành xây dựng: kiểm định Vùng Vịnh (Construction subsample test)</w:t>
      </w:r>
      <w:r>
        <w:t xml:space="preserve">. Ước lượng lại trên ngành F (41–43) ở nhóm Advanced tài nguyên dẫn dắt, nơi xây dựng theo dự án chiếm tỷ trọng cao. Mục đích: kiểm tra logic nhà nước tô và phân tán hẹp ở Vùng Vịnh (H5) có bị chi phối bởi cơ cấu ngành xây dựng hay không.</w:t>
      </w:r>
    </w:p>
    <w:p>
      <w:pPr>
        <w:numPr>
          <w:ilvl w:val="0"/>
          <w:numId w:val="1014"/>
        </w:numPr>
      </w:pPr>
      <w:r>
        <w:rPr>
          <w:bCs/>
          <w:b/>
        </w:rPr>
        <w:t xml:space="preserve">Loại trừ ngành khai khoáng khỏi cụm tài nguyên (Mining-excluded re-estimation)</w:t>
      </w:r>
      <w:r>
        <w:t xml:space="preserve">. Loại ngành B (05–09) khỏi các phân nhóm con tài nguyên dẫn dắt (Vùng Vịnh, Mongolia). Mục đích: phân biệt hiệu ứng cụm tài nguyên cấp thể chế (H5) khỏi hiệu ứng đặc thù ngành khai khoáng.</w:t>
      </w:r>
    </w:p>
    <w:p>
      <w:pPr>
        <w:numPr>
          <w:ilvl w:val="0"/>
          <w:numId w:val="1014"/>
        </w:numPr>
      </w:pPr>
      <w:r>
        <w:rPr>
          <w:bCs/>
          <w:b/>
        </w:rPr>
        <w:t xml:space="preserve">Mô hình neo cô lập đứt gãy schema BREADY 2025 (Anchor model)</w:t>
      </w:r>
      <w:r>
        <w:t xml:space="preserve">. Quy trình ba bước khóa hệ số neo ước lượng từ dữ liệu đến 2024 rồi tái ước lượng với dữ liệu đầy đủ 2009–2025, kèm kiểm định ổn định hệ số (Wald, Chow) và tỷ số hệ số (xem Mục 4.11.2 file 15). Mục đích: bảo đảm cấu trúc bảng hỏi BREADY 2025 không làm đảo chiều ý nghĩa thống kê cốt lõi của H1–H3.</w:t>
      </w:r>
    </w:p>
    <w:p>
      <w:pPr>
        <w:numPr>
          <w:ilvl w:val="0"/>
          <w:numId w:val="1014"/>
        </w:numPr>
      </w:pPr>
      <w:r>
        <w:rPr>
          <w:bCs/>
          <w:b/>
        </w:rPr>
        <w:t xml:space="preserve">Tương tác động học ngành × chất lượng thể chế (Industry × institutional dynamism)</w:t>
      </w:r>
      <w:r>
        <w:t xml:space="preserve">. Kiểm định các số hạng tương tác</w:t>
      </w:r>
      <w:r>
        <w:t xml:space="preserve"> </w:t>
      </w:r>
      <w:r>
        <w:rPr>
          <w:rStyle w:val="VerbatimChar"/>
        </w:rPr>
        <w:t xml:space="preserve">tech_dynamism × institutional_quality</w:t>
      </w:r>
      <w:r>
        <w:t xml:space="preserve"> </w:t>
      </w:r>
      <w:r>
        <w:t xml:space="preserve">(kỳ vọng dấu dương) và</w:t>
      </w:r>
      <w:r>
        <w:t xml:space="preserve"> </w:t>
      </w:r>
      <w:r>
        <w:rPr>
          <w:rStyle w:val="VerbatimChar"/>
        </w:rPr>
        <w:t xml:space="preserve">market_dynamism × institutional_quality</w:t>
      </w:r>
      <w:r>
        <w:t xml:space="preserve"> </w:t>
      </w:r>
      <w:r>
        <w:t xml:space="preserve">(kỳ vọng dấu âm) theo Kafouros et al. (2023). Mục đích: lặp lại (replicate) phát hiện CEE của Kafouros trong bối cảnh châu Á và cung cấp bằng chứng cho giả thuyết bổ trợ H7 của CĐ2.</w:t>
      </w:r>
    </w:p>
    <w:p>
      <w:pPr>
        <w:numPr>
          <w:ilvl w:val="0"/>
          <w:numId w:val="1014"/>
        </w:numPr>
      </w:pPr>
      <w:r>
        <w:rPr>
          <w:bCs/>
          <w:b/>
        </w:rPr>
        <w:t xml:space="preserve">Đối chiếu ranh giới đo lường (Construct-boundary cross-validation)</w:t>
      </w:r>
      <w:r>
        <w:t xml:space="preserve">. Chạy Spec 2 (DAI Tier-1+2 đa thành phần) chỉ ở các nền kinh tế có đủ dữ liệu BREADY+ để kiểm tra xem pattern kiểu Singapore, tức tương tác DAI × FSTS² dương, có xuất hiện khi dùng chỉ số số hóa tổ hợp hay không (xem Bảng 4.4.5.1 file 15). Mục đích: kiểm chứng khung CDCM và xác lập ranh giới giữa</w:t>
      </w:r>
      <w:r>
        <w:t xml:space="preserve"> </w:t>
      </w:r>
      <w:r>
        <w:t xml:space="preserve">“</w:t>
      </w:r>
      <w:r>
        <w:t xml:space="preserve">đòn bẩy</w:t>
      </w:r>
      <w:r>
        <w:t xml:space="preserve">”</w:t>
      </w:r>
      <w:r>
        <w:t xml:space="preserve"> </w:t>
      </w:r>
      <w:r>
        <w:t xml:space="preserve">(lever) và</w:t>
      </w:r>
      <w:r>
        <w:t xml:space="preserve"> </w:t>
      </w:r>
      <w:r>
        <w:t xml:space="preserve">“</w:t>
      </w:r>
      <w:r>
        <w:t xml:space="preserve">điểm nghẽn</w:t>
      </w:r>
      <w:r>
        <w:t xml:space="preserve">”</w:t>
      </w:r>
      <w:r>
        <w:t xml:space="preserve"> </w:t>
      </w:r>
      <w:r>
        <w:t xml:space="preserve">(bottleneck) của số hóa theo cấp tầng.</w:t>
      </w:r>
    </w:p>
    <w:p>
      <w:pPr>
        <w:pStyle w:val="FirstParagraph"/>
      </w:pPr>
      <w:r>
        <w:rPr>
          <w:bCs/>
          <w:b/>
        </w:rPr>
        <w:t xml:space="preserve">Các kiểm định mở rộng theo bối cảnh (supplementary)</w:t>
      </w:r>
      <w:r>
        <w:t xml:space="preserve">: ngoài tám kiểm định cốt lõi trên, các tiểu cảnh điển hình của Chương 5 và lý giải Chương 6 gợi ý thêm một số kiểm định bổ trợ đặc thù: điều chỉnh theo cơ cấu ngành (sector composition adjustment, Mục 5.3), loại doanh nghiệp xác sống khỏi mẫu phụ Trung Quốc (zombie-excluded re-estimation, Mục 5.4), hiệu chỉnh theo hiệu ứng đẩy nhanh giao hàng (front-loading-adjusted, Mục 6), điều chỉnh theo năng lực phòng ngừa (hedging-adjusted, Mục 7.3.3) và panel xác thực hậu đại dịch độc lập (Mục 4.11.3 file 15). Các kiểm định bổ trợ này phục vụ những câu hỏi đặc thù quốc gia hoặc đặc thù bối cảnh 2026, không thay thế tám kiểm định cốt lõi mang tính cấu trúc.</w:t>
      </w:r>
    </w:p>
    <w:bookmarkEnd w:id="39"/>
    <w:bookmarkEnd w:id="40"/>
    <w:bookmarkStart w:id="41" w:name="hạn-chế-của-chuyên-đề"/>
    <w:p>
      <w:pPr>
        <w:pStyle w:val="Heading3"/>
      </w:pPr>
      <w:r>
        <w:t xml:space="preserve">7.4 Hạn chế của chuyên đề</w:t>
      </w:r>
    </w:p>
    <w:p>
      <w:pPr>
        <w:pStyle w:val="FirstParagraph"/>
      </w:pPr>
      <w:r>
        <w:t xml:space="preserve">Chuyên đề thừa nhận bảy hạn chế cần được diễn giải như những</w:t>
      </w:r>
      <w:r>
        <w:t xml:space="preserve"> </w:t>
      </w:r>
      <w:r>
        <w:rPr>
          <w:bCs/>
          <w:b/>
        </w:rPr>
        <w:t xml:space="preserve">giới hạn suy luận (inferential bounds)</w:t>
      </w:r>
      <w:r>
        <w:t xml:space="preserve"> </w:t>
      </w:r>
      <w:r>
        <w:t xml:space="preserve">đặt ra ranh giới cho mọi kết luận, đồng thời định hướng cho thiết kế của CĐ2, phân tích tổng hợp và luận án. Việc nêu rõ các hạn chế này từ giai đoạn mô tả nhằm phòng tránh</w:t>
      </w:r>
      <w:r>
        <w:t xml:space="preserve"> </w:t>
      </w:r>
      <w:r>
        <w:t xml:space="preserve">“</w:t>
      </w:r>
      <w:r>
        <w:t xml:space="preserve">overclaiming</w:t>
      </w:r>
      <w:r>
        <w:t xml:space="preserve">”</w:t>
      </w:r>
      <w:r>
        <w:t xml:space="preserve"> </w:t>
      </w:r>
      <w:r>
        <w:t xml:space="preserve">và bảo đảm tính minh bạch theo chuẩn Aguinis et al. (2019).</w:t>
      </w:r>
    </w:p>
    <w:p>
      <w:pPr>
        <w:numPr>
          <w:ilvl w:val="0"/>
          <w:numId w:val="1015"/>
        </w:numPr>
      </w:pPr>
      <w:r>
        <w:rPr>
          <w:bCs/>
          <w:b/>
        </w:rPr>
        <w:t xml:space="preserve">Bão hòa DAI Tier-1 ở các nền kinh tế tiên tiến</w:t>
      </w:r>
      <w:r>
        <w:t xml:space="preserve">. Trong Spec 1, biến số hóa chỉ là website nhị phân (Tier-1 Digital Presence). Vì website đã bão hòa từ trước 2018 ở Singapore, Hong Kong, Hàn Quốc, Đài Loan và Israel, biến này không còn khả năng phân biệt (discriminate) năng suất giữa các doanh nghiệp ở Advanced; hệ số âm −0,129 do đó là biểu hiện giả tạo đo lường chứ không phải bằng chứng</w:t>
      </w:r>
      <w:r>
        <w:t xml:space="preserve"> </w:t>
      </w:r>
      <w:r>
        <w:t xml:space="preserve">“</w:t>
      </w:r>
      <w:r>
        <w:t xml:space="preserve">số hóa làm giảm năng suất</w:t>
      </w:r>
      <w:r>
        <w:t xml:space="preserve">”</w:t>
      </w:r>
      <w:r>
        <w:t xml:space="preserve">. Suy luận về</w:t>
      </w:r>
      <w:r>
        <w:t xml:space="preserve"> </w:t>
      </w:r>
      <w:r>
        <w:t xml:space="preserve">“</w:t>
      </w:r>
      <w:r>
        <w:t xml:space="preserve">năng lực số</w:t>
      </w:r>
      <w:r>
        <w:t xml:space="preserve">”</w:t>
      </w:r>
      <w:r>
        <w:t xml:space="preserve"> </w:t>
      </w:r>
      <w:r>
        <w:t xml:space="preserve">trong CĐ1 phải giới hạn ở phạm vi Áp dụng số nền tảng (Foundational Digital Adoption), không mở rộng thành</w:t>
      </w:r>
      <w:r>
        <w:t xml:space="preserve"> </w:t>
      </w:r>
      <w:r>
        <w:t xml:space="preserve">“</w:t>
      </w:r>
      <w:r>
        <w:t xml:space="preserve">Digital Transformation</w:t>
      </w:r>
      <w:r>
        <w:t xml:space="preserve">”</w:t>
      </w:r>
      <w:r>
        <w:t xml:space="preserve"> </w:t>
      </w:r>
      <w:r>
        <w:t xml:space="preserve">(Tier-3/4 không quan sát được trong WBES).</w:t>
      </w:r>
    </w:p>
    <w:p>
      <w:pPr>
        <w:numPr>
          <w:ilvl w:val="0"/>
          <w:numId w:val="1015"/>
        </w:numPr>
      </w:pPr>
      <w:r>
        <w:rPr>
          <w:bCs/>
          <w:b/>
        </w:rPr>
        <w:t xml:space="preserve">Hiệu ứng schema BREADY trong đợt khảo sát 2025</w:t>
      </w:r>
      <w:r>
        <w:t xml:space="preserve">. Đợt 2025 (n=17.107, 16,9% pool) dùng bảng hỏi BREADY khác hai thế hệ trước, gây những dịch chuyển đo lường phi kinh tế: điển hình FSTS Ấn Độ rơi từ 7,7% xuống 2,7% và R&amp;D nhiều nước tăng vọt do hiệu ứng bảng hỏi (questionnaire effect). Mọi so sánh chuỗi thời gian có dữ liệu 2025 phải được đọc với dè dặt cho tới khi áp dụng hệ thống cô lập</w:t>
      </w:r>
      <w:r>
        <w:t xml:space="preserve"> </w:t>
      </w:r>
      <w:r>
        <w:t xml:space="preserve">“</w:t>
      </w:r>
      <w:r>
        <w:t xml:space="preserve">triple-defense</w:t>
      </w:r>
      <w:r>
        <w:t xml:space="preserve">”</w:t>
      </w:r>
      <w:r>
        <w:t xml:space="preserve"> </w:t>
      </w:r>
      <w:r>
        <w:t xml:space="preserve">(Mục 4.11 file 15); Nepal 2025 bị để n/a vì schema chưa thống nhất.</w:t>
      </w:r>
    </w:p>
    <w:p>
      <w:pPr>
        <w:numPr>
          <w:ilvl w:val="0"/>
          <w:numId w:val="1015"/>
        </w:numPr>
      </w:pPr>
      <w:r>
        <w:rPr>
          <w:bCs/>
          <w:b/>
        </w:rPr>
        <w:t xml:space="preserve">Thiết kế cắt ngang gộp (pooled cross-sectional), không phải bảng (panel) thực thụ</w:t>
      </w:r>
      <w:r>
        <w:t xml:space="preserve">. Pool 101.185 doanh nghiệp là tập hợp cắt ngang lặp lại (repeated cross-section) chứ không theo dõi cùng một doanh nghiệp qua thời gian. Do đó CĐ1 không thể nhận diện hiệu ứng trong-doanh-nghiệp (within-firm) hay thiết lập quan hệ nhân quả; mọi tương quan ở Chương 6 là mô tả và có thể bị nhiễu bởi yếu tố không quan sát được. Việc nhận diện nhân quả (IV, panel) được dành cho CĐ2.</w:t>
      </w:r>
    </w:p>
    <w:p>
      <w:pPr>
        <w:numPr>
          <w:ilvl w:val="0"/>
          <w:numId w:val="1015"/>
        </w:numPr>
      </w:pPr>
      <w:r>
        <w:rPr>
          <w:bCs/>
          <w:b/>
        </w:rPr>
        <w:t xml:space="preserve">Loại trừ bốn ngành và giới hạn vũ trụ khảo sát WBES</w:t>
      </w:r>
      <w:r>
        <w:t xml:space="preserve">. WBES loại trừ tiện ích công cộng, dịch vụ chính phủ, chăm sóc sức khỏe và dịch vụ tài chính, đồng thời chỉ khảo sát doanh nghiệp chính thức có ít nhất 5 lao động. Vì vậy các pattern của CĐ1 không suy rộng được sang khu vực phi chính thức, vi doanh nghiệp (dưới 5 lao động) hay bốn ngành loại trừ, một giới hạn đặc biệt quan trọng ở Frontier và SIDS nơi khu vực phi chính thức lớn.</w:t>
      </w:r>
    </w:p>
    <w:p>
      <w:pPr>
        <w:numPr>
          <w:ilvl w:val="0"/>
          <w:numId w:val="1015"/>
        </w:numPr>
      </w:pPr>
      <w:r>
        <w:rPr>
          <w:bCs/>
          <w:b/>
        </w:rPr>
        <w:t xml:space="preserve">Tính dị thể của pool (pool heterogeneity) qua ba thế hệ khung dữ liệu</w:t>
      </w:r>
      <w:r>
        <w:t xml:space="preserve">. Pool hài hòa ba thế hệ schema (PICS3, Standardized, Standardized 2018+/BREADY) với định nghĩa biến không hoàn toàn đồng nhất; mẫu phụ đủ dữ liệu năng suất (86.457) loại bỏ không đồng đều giữa các phân nhóm con (Frontier mất 34,2%, xem ghi chú Bảng 4.1). Sự dị thể này hạn chế độ chính xác của các so sánh tuyệt đối xuyên thế hệ schema, dù không làm thay đổi các pattern định hướng (directional patterns).</w:t>
      </w:r>
    </w:p>
    <w:p>
      <w:pPr>
        <w:numPr>
          <w:ilvl w:val="0"/>
          <w:numId w:val="1015"/>
        </w:numPr>
      </w:pPr>
      <w:r>
        <w:rPr>
          <w:bCs/>
          <w:b/>
        </w:rPr>
        <w:t xml:space="preserve">Số liệu giới tính là ước tính theo phân nhóm con, chưa tính trực tiếp từ biến gốc</w:t>
      </w:r>
      <w:r>
        <w:t xml:space="preserve">. Bảng 4.5.6 (file 15) trình bày tỷ lệ nữ quản lý cấp cao và nữ sở hữu dưới dạng khoảng ước tính (range estimate) tổng hợp theo phân nhóm con ICRV, chưa tính chính xác từ biến WBES</w:t>
      </w:r>
      <w:r>
        <w:t xml:space="preserve"> </w:t>
      </w:r>
      <w:r>
        <w:rPr>
          <w:rStyle w:val="VerbatimChar"/>
        </w:rPr>
        <w:t xml:space="preserve">b7a</w:t>
      </w:r>
      <w:r>
        <w:t xml:space="preserve">/</w:t>
      </w:r>
      <w:r>
        <w:rPr>
          <w:rStyle w:val="VerbatimChar"/>
        </w:rPr>
        <w:t xml:space="preserve">b4</w:t>
      </w:r>
      <w:r>
        <w:t xml:space="preserve"> </w:t>
      </w:r>
      <w:r>
        <w:t xml:space="preserve">ở cấp doanh nghiệp. Vì vậy các nhận định về giới (Mục 4.5.6 và 6.1) mang tính gợi mở; trị số chính xác sẽ được tính lại trong giai đoạn hoàn thiện và dùng làm biến kiểm soát/điều tiết trong CĐ2.</w:t>
      </w:r>
    </w:p>
    <w:p>
      <w:pPr>
        <w:numPr>
          <w:ilvl w:val="0"/>
          <w:numId w:val="1015"/>
        </w:numPr>
      </w:pPr>
      <w:r>
        <w:rPr>
          <w:bCs/>
          <w:b/>
        </w:rPr>
        <w:t xml:space="preserve">Thiếu bằng chứng cường độ (magnitude evidence): chờ phân tích tổng hợp</w:t>
      </w:r>
      <w:r>
        <w:t xml:space="preserve">. CĐ1 cung cấp</w:t>
      </w:r>
      <w:r>
        <w:t xml:space="preserve"> </w:t>
      </w:r>
      <w:r>
        <w:rPr>
          <w:iCs/>
          <w:i/>
        </w:rPr>
        <w:t xml:space="preserve">bằng chứng tồn tại</w:t>
      </w:r>
      <w:r>
        <w:t xml:space="preserve"> </w:t>
      </w:r>
      <w:r>
        <w:t xml:space="preserve">(existence evidence) cho H1–H6 qua thống kê mô tả và các điểm uốn đơn quốc gia (Việt Nam, Trung Quốc, Singapore), nhưng chưa cung cấp</w:t>
      </w:r>
      <w:r>
        <w:t xml:space="preserve"> </w:t>
      </w:r>
      <w:r>
        <w:rPr>
          <w:iCs/>
          <w:i/>
        </w:rPr>
        <w:t xml:space="preserve">bằng chứng cường độ</w:t>
      </w:r>
      <w:r>
        <w:t xml:space="preserve">, tức quy mô hiệu ứng gộp (pooled effect size) chuẩn hóa và khoảng tin cậy xuyên 47 nền kinh tế. Bằng chứng cường độ này phụ thuộc vào bài báo tổng hợp định lượng phân tích tổng hợp (đang chuẩn bị, phương pháp PRISMA 2020). Cho tới khi phân tích tổng hợp hoàn thành, mọi phát biểu về độ lớn hiệu ứng tổng hợp phải được trình bày như giả định cần kiểm chứng, không phải kết luận đã xác lập.</w:t>
      </w:r>
    </w:p>
    <w:bookmarkEnd w:id="41"/>
    <w:bookmarkStart w:id="42" w:name="kế-hoạch-hoàn-thiện"/>
    <w:p>
      <w:pPr>
        <w:pStyle w:val="Heading3"/>
      </w:pPr>
      <w:r>
        <w:t xml:space="preserve">7.5 Kế hoạch hoàn thiện</w:t>
      </w:r>
    </w:p>
    <w:p>
      <w:pPr>
        <w:pStyle w:val="FirstParagraph"/>
      </w:pPr>
      <w:r>
        <w:t xml:space="preserve">Chuyên đề được hoàn thiện theo bốn giai đoạn nối tiếp từ tháng 6/2026 đến tháng 9/2026, mỗi giai đoạn xử lý một nhóm hạn chế nêu ở Mục 7.4 và bổ sung phần còn để ngỏ trong các phụ lục:</w:t>
      </w:r>
    </w:p>
    <w:p>
      <w:pPr>
        <w:numPr>
          <w:ilvl w:val="0"/>
          <w:numId w:val="1016"/>
        </w:numPr>
      </w:pPr>
      <w:r>
        <w:rPr>
          <w:bCs/>
          <w:b/>
        </w:rPr>
        <w:t xml:space="preserve">Giai đoạn 1 (tháng 6/2026): Hoàn thiện dữ liệu và đo lường gốc</w:t>
      </w:r>
      <w:r>
        <w:t xml:space="preserve">. Tính lại trực tiếp các trị số P90/P10 và P75/P25 cho Bảng 4.1 (xử lý hạn chế 5), tính chính xác số liệu giới tính từ biến</w:t>
      </w:r>
      <w:r>
        <w:t xml:space="preserve"> </w:t>
      </w:r>
      <w:r>
        <w:rPr>
          <w:rStyle w:val="VerbatimChar"/>
        </w:rPr>
        <w:t xml:space="preserve">b7a</w:t>
      </w:r>
      <w:r>
        <w:t xml:space="preserve">/</w:t>
      </w:r>
      <w:r>
        <w:rPr>
          <w:rStyle w:val="VerbatimChar"/>
        </w:rPr>
        <w:t xml:space="preserve">b4</w:t>
      </w:r>
      <w:r>
        <w:t xml:space="preserve"> </w:t>
      </w:r>
      <w:r>
        <w:t xml:space="preserve">(hạn chế 6), quy đổi năng suất sang USD PPP, và chốt số doanh nghiệp Indonesia và Philippines trong phân rã Bảng 4.9 (xử lý C5). Đầu ra: Bảng 4.1, 4.5.6 và 4.9 với số liệu hoàn chỉnh thay cho các ô</w:t>
      </w:r>
      <w:r>
        <w:t xml:space="preserve"> </w:t>
      </w:r>
      <w:r>
        <w:t xml:space="preserve">“</w:t>
      </w:r>
      <w:r>
        <w:t xml:space="preserve">(cập nhật GĐ1)</w:t>
      </w:r>
      <w:r>
        <w:t xml:space="preserve">”</w:t>
      </w:r>
      <w:r>
        <w:t xml:space="preserve"> </w:t>
      </w:r>
      <w:r>
        <w:t xml:space="preserve">và ước tính khoảng.</w:t>
      </w:r>
    </w:p>
    <w:p>
      <w:pPr>
        <w:numPr>
          <w:ilvl w:val="0"/>
          <w:numId w:val="1016"/>
        </w:numPr>
      </w:pPr>
      <w:r>
        <w:rPr>
          <w:bCs/>
          <w:b/>
        </w:rPr>
        <w:t xml:space="preserve">Giai đoạn 2 (tháng 7/2026): Bảng mô tả cấp ngành và cô lập schema</w:t>
      </w:r>
      <w:r>
        <w:t xml:space="preserve">. Xây dựng các bảng mô tả cấp ngành theo khung 9 ngành ISIC (Bảng 4.8.1), triển khai hệ thống</w:t>
      </w:r>
      <w:r>
        <w:t xml:space="preserve"> </w:t>
      </w:r>
      <w:r>
        <w:t xml:space="preserve">“</w:t>
      </w:r>
      <w:r>
        <w:t xml:space="preserve">triple-defense</w:t>
      </w:r>
      <w:r>
        <w:t xml:space="preserve">”</w:t>
      </w:r>
      <w:r>
        <w:t xml:space="preserve"> </w:t>
      </w:r>
      <w:r>
        <w:t xml:space="preserve">cô lập đứt gãy schema BREADY 2025 (xử lý hạn chế 2) và tạo 11 hình minh họa từ</w:t>
      </w:r>
      <w:r>
        <w:t xml:space="preserve"> </w:t>
      </w:r>
      <w:r>
        <w:rPr>
          <w:rStyle w:val="VerbatimChar"/>
        </w:rPr>
        <w:t xml:space="preserve">generate_figures.py</w:t>
      </w:r>
      <w:r>
        <w:t xml:space="preserve">. Đầu ra: phụ lục cấp ngành và bộ hình hoàn chỉnh.</w:t>
      </w:r>
    </w:p>
    <w:p>
      <w:pPr>
        <w:numPr>
          <w:ilvl w:val="0"/>
          <w:numId w:val="1016"/>
        </w:numPr>
      </w:pPr>
      <w:r>
        <w:rPr>
          <w:bCs/>
          <w:b/>
        </w:rPr>
        <w:t xml:space="preserve">Giai đoạn 3 (tháng 8/2026): Mở rộng phụ lục và đối chiếu chéo</w:t>
      </w:r>
      <w:r>
        <w:t xml:space="preserve">. Mở rộng Phụ lục B–G, đối chiếu chéo (cross-validate) toàn bộ pool với baseline 17 nước của Đỗ &amp; Phan (2026, VEFR) để kiểm tra tính nhất quán (xử lý hạn chế 5), và hoàn tất gói tái lập (replication package) mở. Đầu ra: phụ lục đầy đủ và gói tái lập công khai.</w:t>
      </w:r>
    </w:p>
    <w:p>
      <w:pPr>
        <w:numPr>
          <w:ilvl w:val="0"/>
          <w:numId w:val="1016"/>
        </w:numPr>
      </w:pPr>
      <w:r>
        <w:rPr>
          <w:bCs/>
          <w:b/>
        </w:rPr>
        <w:t xml:space="preserve">Giai đoạn 4 (tháng 9/2026): Tích hợp với CĐ2 và rà soát cuối</w:t>
      </w:r>
      <w:r>
        <w:t xml:space="preserve">. Tích hợp định hướng H1–H6 và tám kiểm định độ vững cốt lõi (Mục 7.3.4) vào thiết kế CĐ2, rà soát nhất quán số liệu và nhãn xuyên ba phần, và chuẩn bị bản nộp Hội đồng. Đầu ra: bản chuyên đề hoàn chỉnh sẵn sàng bảo vệ, đồng bộ với mô hình kiểm định của CĐ2.</w:t>
      </w:r>
    </w:p>
    <w:p>
      <w:r>
        <w:pict>
          <v:rect style="width:0;height:1.5pt" o:hralign="center" o:hrstd="t" o:hr="t"/>
        </w:pict>
      </w:r>
    </w:p>
    <w:bookmarkEnd w:id="42"/>
    <w:bookmarkEnd w:id="43"/>
    <w:bookmarkStart w:id="44" w:name="tài-liệu-tham-khảo"/>
    <w:p>
      <w:pPr>
        <w:pStyle w:val="Heading2"/>
      </w:pPr>
      <w:r>
        <w:t xml:space="preserve">TÀI LIỆU THAM KHẢO</w:t>
      </w:r>
    </w:p>
    <w:p>
      <w:pPr>
        <w:pStyle w:val="BlockText"/>
      </w:pPr>
      <w:r>
        <w:t xml:space="preserve">Trích dẫn theo APA 7th. Danh mục đầy đủ ở</w:t>
      </w:r>
      <w:r>
        <w:t xml:space="preserve"> </w:t>
      </w:r>
      <w:r>
        <w:rPr>
          <w:rStyle w:val="VerbatimChar"/>
        </w:rPr>
        <w:t xml:space="preserve">thesis/04_references_apa7.md</w:t>
      </w:r>
      <w:r>
        <w:t xml:space="preserve"> </w:t>
      </w:r>
      <w:r>
        <w:t xml:space="preserve">(v2.5).</w:t>
      </w:r>
    </w:p>
    <w:p>
      <w:r>
        <w:pict>
          <v:rect style="width:0;height:1.5pt" o:hralign="center" o:hrstd="t" o:hr="t"/>
        </w:pict>
      </w:r>
    </w:p>
    <w:bookmarkEnd w:id="44"/>
    <w:bookmarkStart w:id="47" w:name="phụ-lục"/>
    <w:p>
      <w:pPr>
        <w:pStyle w:val="Heading2"/>
      </w:pPr>
      <w:r>
        <w:t xml:space="preserve">PHỤ LỤC</w:t>
      </w:r>
    </w:p>
    <w:bookmarkStart w:id="45" w:name="Xac7090a743afa00f99b5424d88f7949cab3c6cf"/>
    <w:p>
      <w:pPr>
        <w:pStyle w:val="Heading3"/>
      </w:pPr>
      <w:r>
        <w:t xml:space="preserve">Phụ lục A — Phạm vi thực tế của nhóm dữ liệu WBES</w:t>
      </w:r>
    </w:p>
    <w:p>
      <w:pPr>
        <w:pStyle w:val="FirstParagraph"/>
      </w:pPr>
      <w:r>
        <w:t xml:space="preserve">47 nước, 108 cặp QG×năm, 101.185 doanh nghiệp, 7 SIDS bao gồm Kiribati 2025.</w:t>
      </w:r>
    </w:p>
    <w:bookmarkEnd w:id="45"/>
    <w:bookmarkStart w:id="46" w:name="phụ-lục-b-g"/>
    <w:p>
      <w:pPr>
        <w:pStyle w:val="Heading3"/>
      </w:pPr>
      <w:r>
        <w:t xml:space="preserve">Phụ lục B – G</w:t>
      </w:r>
    </w:p>
    <w:p>
      <w:pPr>
        <w:pStyle w:val="FirstParagraph"/>
      </w:pPr>
      <w:r>
        <w:t xml:space="preserve">(Sẽ mở rộng giai đoạn 1–3 tháng 6–8/2026.)</w:t>
      </w:r>
    </w:p>
    <w:bookmarkEnd w:id="46"/>
    <w:bookmarkEnd w:id="47"/>
    <w:bookmarkEnd w:id="4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1"/>
  </w:num>
  <w:num w:numId="101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center"/>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2026-06-04T01:02:03Z</dcterms:created>
  <dcterms:modified xsi:type="dcterms:W3CDTF">2026-06-04T01:02:03Z</dcterms:modified>
</cp:coreProperties>
</file>

<file path=docProps/custom.xml><?xml version="1.0" encoding="utf-8"?>
<Properties xmlns="http://schemas.openxmlformats.org/officeDocument/2006/custom-properties" xmlns:vt="http://schemas.openxmlformats.org/officeDocument/2006/docPropsVTypes"/>
</file>