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mở-đầu"/>
    <w:p>
      <w:pPr>
        <w:pStyle w:val="Heading1"/>
      </w:pPr>
      <w:r>
        <w:t xml:space="preserve">MỞ ĐẦU</w:t>
      </w:r>
    </w:p>
    <w:bookmarkStart w:id="20" w:name="tính-cấp-thiết-của-nghiên-cứu"/>
    <w:p>
      <w:pPr>
        <w:pStyle w:val="Heading2"/>
      </w:pPr>
      <w:r>
        <w:t xml:space="preserve">Tính cấp thiết của nghiên cứu</w:t>
      </w:r>
    </w:p>
    <w:p>
      <w:pPr>
        <w:pStyle w:val="FirstParagraph"/>
      </w:pPr>
      <w:r>
        <w:t xml:space="preserve">Quốc tế hóa doanh nghiệp đã là một trong những chủ đề trung tâm của kinh doanh quốc tế (international business) suốt hơn nửa thế kỷ qua. Kể từ khi Johanson và Vahlne (1977) đề xuất mô hình Uppsala về quá trình quốc tế hóa tuần tự, gần nửa thế kỷ nghiên cứu đã tích lũy quanh một câu hỏi cốt lõi mà đến nay vẫn chưa có lời đáp dứt khoát: quốc tế hóa có thực sự cải thiện hiệu quả hoạt động của doanh nghiệp hay không, và nếu có thì trong những điều kiện nào? Điều đáng chú ý không phải là sự thiếu vắng bằng chứng, mà là sự phân tán của nó. Mối quan hệ giữa quốc tế hóa và hiệu quả hoạt động kinh doanh (internationalization-performance — I-P) là có thực, nhưng phức tạp và phụ thuộc vào nhiều điều kiện biên. Chính tính điều kiện này, chứ không phải bản thân dấu của hiệu ứng, mới là vấn đề lý thuyết cần được giải quyết.</w:t>
      </w:r>
    </w:p>
    <w:p>
      <w:pPr>
        <w:pStyle w:val="BodyText"/>
      </w:pPr>
      <w:r>
        <w:t xml:space="preserve">Sự cấp thiết của vấn đề trước hết bộc lộ ở mức độ không đồng nhất (heterogeneity) cao và dai dẳng trong bằng chứng. Mặc dù đã có hàng trăm nghiên cứu thực nghiệm, các phân tích tổng hợp (meta-analysis) về quan hệ I-P liên tục cho thấy một bức tranh giống nhau: tác động tổng hợp là dương nhưng nhỏ, trong khi mức dị biệt giữa các nghiên cứu lại rất cao (Bausch &amp; Krist, 2007; Kirca et al., 2012; Marano et al., 2016; Wu et al., 2022). Phân tích tổng hợp ba tầng của chính luận án trên 238 nghiên cứu xác nhận lại quy luật thực nghiệm này: hệ số tương quan tổng hợp chỉ vào khoảng r = 0,074, trong khi mức dị biệt còn lại sau khi đã tính tới sai số lấy mẫu vẫn ở mức I² = 87,8%. Mức dị biệt cao như vậy không phải là dấu hiệu của sai sót phương pháp; trái lại, nó cho thấy quan hệ I-P phụ thuộc sâu sắc vào điều kiện bối cảnh. Bản thân sự tồn tại song song của năm dạng hàm quan hệ khác nhau, từ tuyến tính, chữ U ngược, đường cong chữ S, đường cong chữ M, đến gánh nặng bắt buộc, là dữ kiện cần được giải thích chứ không phải mâu thuẫn cần loại bỏ (Contractor, 2012; Hitt et al., 1997; Lu &amp; Beamish, 2004). Khi cùng một mức cường độ xuất khẩu có thể trở thành lợi thế ở bối cảnh này nhưng lại là gánh nặng ở bối cảnh khác, thì câu hỏi nghiên cứu đáng giá không còn là</w:t>
      </w:r>
      <w:r>
        <w:t xml:space="preserve"> </w:t>
      </w:r>
      <w:r>
        <w:t xml:space="preserve">“</w:t>
      </w:r>
      <w:r>
        <w:t xml:space="preserve">quốc tế hóa tốt hay xấu</w:t>
      </w:r>
      <w:r>
        <w:t xml:space="preserve">”</w:t>
      </w:r>
      <w:r>
        <w:t xml:space="preserve"> </w:t>
      </w:r>
      <w:r>
        <w:t xml:space="preserve">mà là</w:t>
      </w:r>
      <w:r>
        <w:t xml:space="preserve"> </w:t>
      </w:r>
      <w:r>
        <w:t xml:space="preserve">“</w:t>
      </w:r>
      <w:r>
        <w:t xml:space="preserve">trong điều kiện nào quốc tế hóa cải thiện hiệu quả, và trong điều kiện nào thì không</w:t>
      </w:r>
      <w:r>
        <w:t xml:space="preserve">”</w:t>
      </w:r>
      <w:r>
        <w:t xml:space="preserve">.</w:t>
      </w:r>
    </w:p>
    <w:p>
      <w:pPr>
        <w:pStyle w:val="BodyText"/>
      </w:pPr>
      <w:r>
        <w:t xml:space="preserve">Ở châu Á, bối cảnh này càng trở nên đặc biệt đáng quan tâm vì khu vực đang chứng kiến tốc độ hội nhập kinh tế và chuyển đổi số không đồng đều giữa các quốc gia. Từ Singapore dẫn đầu thế giới về năng lực đổi mới và kết nối toàn cầu, đến Việt Nam đang đẩy nhanh cải cách thể chế và hội nhập, rồi đến Trung Quốc với quy mô thị trường khổng lồ và cấu trúc thể chế đặc thù, thậm chí đến các quốc đảo nhỏ Thái Bình Dương đang phải đối mặt với thách thức sinh tồn kép của biến đổi khí hậu và sự phụ thuộc xuất khẩu bắt buộc, sự đa dạng này tạo ra một phòng thí nghiệm thực địa hiếm có để kiểm định các điều kiện biên của quan hệ I-P (Khanna &amp; Palepu, 2010; Peng, 2003). Sự đồng tồn tại của nhiều chế độ thể chế khác nhau trong cùng một khoảng thời gian và trên cùng một nguồn dữ liệu chuẩn hóa cho phép phân tách hiệu ứng thể chế khỏi hiệu ứng thời kỳ, điều mà các nghiên cứu đơn quốc gia khó lòng thực hiện.</w:t>
      </w:r>
    </w:p>
    <w:p>
      <w:pPr>
        <w:pStyle w:val="BodyText"/>
      </w:pPr>
      <w:r>
        <w:t xml:space="preserve">Thể chế là tầng giải thích không thể bỏ qua khi bàn về kết quả quốc tế hóa. Lý thuyết thể chế (institutional theory) của North (1990) cùng Khanna và Palepu (2010) khẳng định rằng thể chế tạo ra cấu trúc khuyến khích và chi phí giao dịch khác nhau giữa các quốc gia. Ở các thị trường mới nổi, khoảng trống thể chế (institutional voids), tức sự thiếu hụt các thể chế trung gian hỗ trợ giao dịch thị trường, đẩy chi phí quốc tế hóa của doanh nghiệp lên đáng kể. Luận án tiếp cận dải biến thiên thể chế của châu Á một cách hệ thống thông qua khung phân loại thể chế sáu nhóm được phát triển riêng cho luận án, gọi là Biến thiên chế độ bối cảnh thể chế (Institutional Context Regime Variation — ICRV).</w:t>
      </w:r>
    </w:p>
    <w:p>
      <w:pPr>
        <w:pStyle w:val="BodyText"/>
      </w:pPr>
      <w:r>
        <w:t xml:space="preserve">Cùng lúc đó, chuyển đổi số đang làm thay đổi căn bản cả cách thức doanh nghiệp quốc tế hóa lẫn cách quốc tế hóa tác động đến hiệu quả. Phần lớn bằng chứng hiện có về vai trò của năng lực số trong quan hệ I-P vẫn dồn vào các nền kinh tế phát triển ở Bắc Mỹ và Tây Âu; bằng chứng cho châu Á mới nổi vẫn còn rất mỏng (Bhandari et al., 2023; Yang et al., 2025). Đáng lưu ý hơn, nhiều nghiên cứu gộp chung hai cấu trúc khái niệm vốn khác nhau về bản chất, là chiều sâu năng lực công nghệ nội tại và mức độ chấp nhận số ở bề mặt, thành một chỉ số</w:t>
      </w:r>
      <w:r>
        <w:t xml:space="preserve"> </w:t>
      </w:r>
      <w:r>
        <w:t xml:space="preserve">“</w:t>
      </w:r>
      <w:r>
        <w:t xml:space="preserve">năng lực số</w:t>
      </w:r>
      <w:r>
        <w:t xml:space="preserve">”</w:t>
      </w:r>
      <w:r>
        <w:t xml:space="preserve"> </w:t>
      </w:r>
      <w:r>
        <w:t xml:space="preserve">duy nhất, khiến kết luận mất đi độ chính xác và che khuất những cơ chế tác động rất khác nhau. Sau cùng, chính nhà quản trị cấp cao mới là tầng chuyển hóa các điều kiện vĩ mô thành quyết định chiến lược và kết quả quốc tế hóa cụ thể, đúng theo lý thuyết Bậc trên (upper echelons theory) của Hambrick và Mason (1984).</w:t>
      </w:r>
    </w:p>
    <w:p>
      <w:pPr>
        <w:pStyle w:val="BodyText"/>
      </w:pPr>
      <w:r>
        <w:t xml:space="preserve">Từ những lập luận trên, luận án xác định một vấn đề nghiên cứu có tính cấp thiết kép. Về mặt khoa học, tài liệu I-P vẫn thiếu một khung lý thuyết tích hợp đủ sức giải thích mức dị biệt cao, đặc biệt cho khu vực châu Á và Thái Bình Dương, nơi bằng chứng liên quốc gia quy mô lớn còn rất hạn chế và nơi sự phân biệt giữa năng lực công nghệ với mức độ chấp nhận số chưa được xử lý một cách hệ thống. Về mặt thực tiễn, doanh nghiệp và nhà hoạch định chính sách ở châu Á đang cần một căn cứ rõ ràng hơn về việc quốc tế hóa đến mức nào thì còn có lợi, và điều kiện thể chế cùng năng lực số nào quyết định ngưỡng đó. Luận án được thực hiện nhằm lấp đầy khoảng trống này.</w:t>
      </w:r>
    </w:p>
    <w:bookmarkEnd w:id="20"/>
    <w:bookmarkStart w:id="21" w:name="mục-tiêu-nghiên-cứu"/>
    <w:p>
      <w:pPr>
        <w:pStyle w:val="Heading2"/>
      </w:pPr>
      <w:r>
        <w:t xml:space="preserve">Mục tiêu nghiên cứu</w:t>
      </w:r>
    </w:p>
    <w:p>
      <w:pPr>
        <w:pStyle w:val="FirstParagraph"/>
      </w:pPr>
      <w:r>
        <w:t xml:space="preserve">Mục tiêu chung của luận án là xây dựng và kiểm định một khung giải thích đa tầng cho mối quan hệ giữa quốc tế hóa và hiệu quả hoạt động kinh doanh của doanh nghiệp tại các nền kinh tế châu Á và khu vực lân cận, trong đó làm rõ vai trò điều tiết trọng tâm (focal moderating effect) của thể chế và năng lực số đối với mối quan hệ này, đồng thời kiểm soát đặc điểm nhà quản trị như khối kiểm soát quản trị nội sinh. Từ mục tiêu chung đó, luận án triển khai bốn mục tiêu cụ thể: tổng hợp và cập nhật bằng chứng phân tích tổng hợp về quan hệ I-P giai đoạn 1982-2026; kiểm định cơ chế cụ thể của quan hệ I-P trong các bối cảnh quốc gia khác nhau gồm Singapore, Việt Nam và Trung Quốc; mở rộng phân tích sang phạm vi đa quốc gia gồm 45 nền kinh tế châu Á và Thái Bình Dương, trong đó có nhóm các quốc đảo nhỏ Thái Bình Dương; và phân tích vai trò điều tiết trọng tâm của hai nhóm nhân tố là thể chế (đo bằng các nhóm con ICRV) và năng lực số (phân biệt rõ Chỉ số năng lực công nghệ — Technological Capability Index — TCI với Chỉ số chấp nhận số — Digital Adoption Index — DAI), với đặc điểm nhà quản trị cấp cao được đưa vào như biến kiểm soát quản trị nội sinh.</w:t>
      </w:r>
    </w:p>
    <w:bookmarkEnd w:id="21"/>
    <w:bookmarkStart w:id="22" w:name="câu-hỏi-nghiên-cứu"/>
    <w:p>
      <w:pPr>
        <w:pStyle w:val="Heading2"/>
      </w:pPr>
      <w:r>
        <w:t xml:space="preserve">Câu hỏi nghiên cứu</w:t>
      </w:r>
    </w:p>
    <w:p>
      <w:pPr>
        <w:pStyle w:val="FirstParagraph"/>
      </w:pPr>
      <w:r>
        <w:t xml:space="preserve">Câu hỏi nghiên cứu trung tâm của luận án được phát biểu như sau: quốc tế hóa ảnh hưởng đến hiệu quả hoạt động kinh doanh của doanh nghiệp ở châu Á như thế nào, và những điều kiện trọng tâm nào về thể chế và năng lực số, sau khi đã kiểm soát đặc điểm nhà quản trị, giải thích mức độ dị biệt cao trong mối quan hệ đó? Từ câu hỏi trung tâm này, luận án đặt ra bốn câu hỏi nghiên cứu cụ thể tương ứng với bốn mục tiêu: tác động tổng hợp và các biến điều tiết giải thích dị biệt giai đoạn 1982-2026 là gì; quan hệ I-P vận hành theo cơ chế đặc thù nào ở Singapore, Việt Nam và Trung Quốc, và cấu trúc phi tuyến đó có ổn định theo thời gian hay không; vai trò điều tiết của DAI và TCI có khái quát hóa được trên 45 nền kinh tế hay không, và hai cấu trúc này có thực sự vận hành theo cơ chế khác nhau hay không; và sau cùng, thể chế và sự phân biệt năng lực công nghệ với chấp nhận số tương tác trọng tâm như thế nào trong việc xác định điều kiện biên của mối quan hệ, sau khi đã kiểm soát đặc điểm nhà quản trị như khối kiểm soát quản trị nội sinh.</w:t>
      </w:r>
    </w:p>
    <w:bookmarkEnd w:id="22"/>
    <w:bookmarkStart w:id="23" w:name="đối-tượng-và-phạm-vi-nghiên-cứu"/>
    <w:p>
      <w:pPr>
        <w:pStyle w:val="Heading2"/>
      </w:pPr>
      <w:r>
        <w:t xml:space="preserve">Đối tượng và phạm vi nghiên cứu</w:t>
      </w:r>
    </w:p>
    <w:p>
      <w:pPr>
        <w:pStyle w:val="FirstParagraph"/>
      </w:pPr>
      <w:r>
        <w:t xml:space="preserve">Đối tượng nghiên cứu là mối quan hệ giữa quốc tế hóa và hiệu quả hoạt động kinh doanh của doanh nghiệp, cùng các nhân tố điều tiết trọng tâm gồm bối cảnh thể chế và năng lực số, trong đó đặc điểm nhà quản trị cấp cao được đưa vào như khối kiểm soát quản trị nội sinh. Đơn vị phân tích là doanh nghiệp ở cấp độ tổ chức. Quốc tế hóa được đo chủ yếu bằng tỷ lệ doanh thu xuất khẩu trên tổng doanh thu (Foreign Sales to Total Sales — FSTS), tức cường độ xuất khẩu; hiệu quả hoạt động được đo chủ yếu bằng năng suất lao động, bổ sung bằng tỷ suất lợi nhuận trên doanh thu và tăng trưởng doanh thu trong các kiểm tra độ vững.</w:t>
      </w:r>
    </w:p>
    <w:p>
      <w:pPr>
        <w:pStyle w:val="BodyText"/>
      </w:pPr>
      <w:r>
        <w:t xml:space="preserve">Phạm vi không gian chính gồm 45 nền kinh tế châu Á và Thái Bình Dương có dữ liệu trong Khảo sát Doanh nghiệp của Ngân hàng Thế giới (World Bank Enterprise Surveys — WBES), được phân loại theo sáu nhóm con ICRV: tiên tiến dẫn dắt bằng đổi mới (đại diện là Singapore, Hàn Quốc, Đài Loan), tiên tiến dẫn dắt bằng tài nguyên (các nền kinh tế vùng Vịnh), thu nhập trung bình cao (Trung Quốc, Malaysia), đang nổi (Việt Nam và ASEAN đang phát triển), cận biên (Campuchia, Nepal, Bangladesh), và quốc đảo nhỏ Thái Bình Dương (Pacific SIDS). Cách ghi</w:t>
      </w:r>
      <w:r>
        <w:t xml:space="preserve"> </w:t>
      </w:r>
      <w:r>
        <w:t xml:space="preserve">“</w:t>
      </w:r>
      <w:r>
        <w:t xml:space="preserve">45 nền kinh tế</w:t>
      </w:r>
      <w:r>
        <w:t xml:space="preserve">”</w:t>
      </w:r>
      <w:r>
        <w:t xml:space="preserve"> </w:t>
      </w:r>
      <w:r>
        <w:t xml:space="preserve">phản ánh hai phạm vi mẫu khác nhau: phân tích mô tả bao phủ 47 nền kinh tế với 101.185 doanh nghiệp, còn mô hình hồi quy đa quốc gia bao phủ 45 nền kinh tế. Phạm vi thời gian có hai mức: phân tích tổng hợp bao quát 1982-2026, còn phân tích thực nghiệm đa quốc gia sử dụng dữ liệu WBES giai đoạn 2009-2025, gồm 101.185 doanh nghiệp với 108 cặp quốc gia-năm trải qua 14 mốc khảo sát, được hòa hợp từ ba thế hệ lược đồ bảng hỏi (PICS3, chuẩn hóa, BREADY/BEE).</w:t>
      </w:r>
    </w:p>
    <w:bookmarkEnd w:id="23"/>
    <w:bookmarkStart w:id="24" w:name="những-đóng-góp-mới"/>
    <w:p>
      <w:pPr>
        <w:pStyle w:val="Heading2"/>
      </w:pPr>
      <w:r>
        <w:t xml:space="preserve">Những đóng góp mới</w:t>
      </w:r>
    </w:p>
    <w:p>
      <w:pPr>
        <w:pStyle w:val="FirstParagraph"/>
      </w:pPr>
      <w:r>
        <w:t xml:space="preserve">Về mặt lý thuyết, luận án đóng góp theo bốn hướng gắn bó với nhau. Hướng đầu tiên là tích hợp bốn lý thuyết kinh điển, gồm mô hình Uppsala, quan điểm dựa trên nguồn lực (resource-based view — RBV), lý thuyết thể chế và lý thuyết Bậc trên, vào một khung giải thích đa tầng thống nhất, được bổ sung bằng một lớp mở rộng về năng lực số. Hướng tiếp theo là tách bạch rõ ràng năng lực công nghệ với chấp nhận số, coi đây là hai cấu trúc khái niệm độc lập dựa trên những nền tảng lý thuyết khác nhau (Bharadwaj et al., 2013; Coltman et al., 2008; Verhoef et al., 2021). Luận án cũng tái định vị mô hình Uppsala trong kỷ nguyên trí tuệ nhân tạo, bằng cách mở rộng cơ chế học hỏi để bao hàm cả học hỏi tăng cường bằng dữ liệu số. Đóng góp mang tính định danh là việc phát hiện và đặt tên cho gánh nặng quốc tế hóa bắt buộc (forced internationalization penalty), một cấu trúc lý thuyết chưa từng được định danh, xác lập như điều kiện biên cực đoan của mô hình chữ U ngược: khi cả ba điều kiện cấu trúc tối thiểu (thị trường nội địa quá nhỏ, chi phí thương mại cực cao và thiếu hỗ trợ thể chế) đồng thời bị vi phạm, quan hệ I-P chuyển từ chữ U ngược sang quan hệ âm đơn điệu không có điểm uốn. Bên cạnh đó, luận án đóng góp về phương pháp qua thiết kế kết hợp tổng hợp và thực nghiệm, và qua việc phát triển khung phân loại thể chế ICRV cho 47 nền kinh tế.</w:t>
      </w:r>
    </w:p>
    <w:p>
      <w:pPr>
        <w:pStyle w:val="BodyText"/>
      </w:pPr>
      <w:r>
        <w:t xml:space="preserve">Về mặt thực tiễn, luận án cung cấp căn cứ có hệ thống cho doanh nghiệp và nhà hoạch định chính sách. Kết quả cho thấy tồn tại một ngưỡng tối ưu trong quan hệ giữa mức độ xuất khẩu và hiệu quả, và ngưỡng này thay đổi theo bối cảnh thể chế cùng năng lực số. Nhà quản trị cần nhận ra ngưỡng đó và đầu tư có chiến lược vào năng lực công nghệ thay vì chỉ chạy theo chấp nhận số ở bề mặt; nhà hoạch định chính sách có thể thấy rằng cải cách thể chế và hỗ trợ chuyển đổi số bổ trợ cho nhau, khi năng lực số làm dịu tác động tiêu cực của rào cản thể chế (Do &amp; Phan, 2026a). Tính mới còn thể hiện ở quy mô chưa từng có: 101.185 doanh nghiệp từ 45 nền kinh tế, mở rộng đáng kể so với tập 17 nền kinh tế trong Do và Phan (2026a), cùng việc lần đầu đưa các quốc đảo nhỏ Thái Bình Dương vào một phân tích thực nghiệm về quan hệ I-P trên dữ liệu WBES.</w:t>
      </w:r>
    </w:p>
    <w:p>
      <w:r>
        <w:pict>
          <v:rect style="width:0;height:1.5pt" o:hralign="center" o:hrstd="t" o:hr="t"/>
        </w:pict>
      </w:r>
    </w:p>
    <w:bookmarkEnd w:id="24"/>
    <w:bookmarkEnd w:id="25"/>
    <w:bookmarkStart w:id="31" w:name="cơ-sở-lý-luận-và-phương-pháp-nghiên-cứu"/>
    <w:p>
      <w:pPr>
        <w:pStyle w:val="Heading1"/>
      </w:pPr>
      <w:r>
        <w:t xml:space="preserve">CƠ SỞ LÝ LUẬN VÀ PHƯƠNG PHÁP NGHIÊN CỨU</w:t>
      </w:r>
    </w:p>
    <w:bookmarkStart w:id="26" w:name="các-khái-niệm-cốt-lõi"/>
    <w:p>
      <w:pPr>
        <w:pStyle w:val="Heading2"/>
      </w:pPr>
      <w:r>
        <w:t xml:space="preserve">Các khái niệm cốt lõi</w:t>
      </w:r>
    </w:p>
    <w:p>
      <w:pPr>
        <w:pStyle w:val="FirstParagraph"/>
      </w:pPr>
      <w:r>
        <w:t xml:space="preserve">Toàn bộ luận án xoay quanh năm khái niệm cốt lõi được vận hành hóa thành biến đo lường cụ thể. Quốc tế hóa doanh nghiệp được hiểu là mức độ và phạm vi tham gia của doanh nghiệp vào các hoạt động kinh tế có yếu tố quốc tế; luận án chọn FSTS và bình phương FSTS (FSTS²) làm thước đo chính. Hiệu quả hoạt động kinh doanh được đo chủ yếu bằng năng suất lao động, tính bằng logarit tự nhiên của tỷ số doanh thu trên số lao động toàn thời gian,</w:t>
      </w:r>
      <w:r>
        <w:t xml:space="preserve"> </w:t>
      </w:r>
      <m:oMath>
        <m:r>
          <m:rPr>
            <m:sty m:val="p"/>
          </m:rPr>
          <m:t>ln</m:t>
        </m:r>
        <m:d>
          <m:dPr>
            <m:begChr m:val="("/>
            <m:endChr m:val=")"/>
            <m:sepChr m:val=""/>
            <m:grow/>
          </m:dPr>
          <m:e>
            <m:r>
              <m:rPr>
                <m:nor/>
                <m:sty m:val="p"/>
              </m:rPr>
              <m:t>doanh thu</m:t>
            </m:r>
            <m:r>
              <m:rPr>
                <m:sty m:val="p"/>
              </m:rPr>
              <m:t>/</m:t>
            </m:r>
            <m:r>
              <m:rPr>
                <m:nor/>
                <m:sty m:val="p"/>
              </m:rPr>
              <m:t>lao động</m:t>
            </m:r>
          </m:e>
        </m:d>
      </m:oMath>
      <w:r>
        <w:t xml:space="preserve">, một thước đo có tính so sánh liên quốc gia cao hơn các chỉ tiêu kế toán như ROA trên dữ liệu khảo sát doanh nghiệp.</w:t>
      </w:r>
    </w:p>
    <w:p>
      <w:pPr>
        <w:pStyle w:val="BodyText"/>
      </w:pPr>
      <w:r>
        <w:t xml:space="preserve">Một trong những đóng góp khái niệm trọng tâm của luận án là phân biệt rạch ròi hai cấu trúc thường bị gộp lẫn. Năng lực công nghệ (TCI) chỉ chiều sâu của công nghệ được nhập vào tổ chức, phản ánh khả năng hấp thụ, khai thác và phát triển tri thức công nghệ tiên tiến, với các chỉ báo gồm chứng nhận chất lượng quốc tế, công nghệ được cấp phép từ đối tác nước ngoài, đổi mới sản phẩm và cường độ nghiên cứu và phát triển. Về bản chất lý thuyết, TCI gần với khái niệm năng lực hấp thụ (absorptive capacity) của Cohen và Levinthal (1990) và năng lực công nghệ của Lall (1992). Chỉ số chấp nhận số (DAI) vận hành theo logic khác hẳn: nó phản ánh mức độ áp dụng các công cụ số ở giao diện bên ngoài của doanh nghiệp, gồm trang web, thư điện tử, thanh toán điện tử và bán hàng trực tuyến, tương ứng với sự hiện diện số cơ bản (Tier-1). TCI hoạt động chủ yếu như một nhân tố nâng mặt bằng hiệu quả; còn DAI có xu hướng làm thay đổi độ dốc hoặc độ cong của đường quan hệ I-P tùy theo bối cảnh. Giữ vững sự phân biệt giữa TCI và DAI xuyên suốt luận án là điều kiện tiên quyết để bảo đảm tính thuần khiết của cấu trúc khái niệm.</w:t>
      </w:r>
    </w:p>
    <w:bookmarkEnd w:id="26"/>
    <w:bookmarkStart w:id="27" w:name="X63caa9cd0d043672a65c316c155f082d430b889"/>
    <w:p>
      <w:pPr>
        <w:pStyle w:val="Heading2"/>
      </w:pPr>
      <w:r>
        <w:t xml:space="preserve">Các lý thuyết nền và khung lý thuyết phân tầng CIMT–ICRV–CDCM</w:t>
      </w:r>
    </w:p>
    <w:p>
      <w:pPr>
        <w:pStyle w:val="FirstParagraph"/>
      </w:pPr>
      <w:r>
        <w:t xml:space="preserve">Không một lý thuyết đơn lẻ nào đủ sức giải thích trọn vẹn quan hệ I-P, nên luận án tiếp cận bằng một khung giải thích tích hợp đa tầng, trong đó bốn lý thuyết kinh điển bổ sung cho nhau, mỗi lý thuyết soi sáng một tầng cơ chế. Mô hình Uppsala (Johanson &amp; Vahlne, 1977) lý giải chi phí học hỏi và gánh nặng người nước ngoài (liability of foreignness) cao ở giai đoạn đầu, tạo cơ sở lý luận cho dạng phi tuyến của quan hệ I-P. Quan điểm dựa trên nguồn lực (Barney, 1991) lý giải vì sao cùng một mức FSTS mà các doanh nghiệp lại đạt hiệu quả khác nhau, qua nguồn lực VRIN và năng lực động (Teece et al., 1997). Lý thuyết thể chế (North, 1990; Khanna &amp; Palepu, 2010; Peng, 2003) nhấn mạnh chi phí giao dịch và khoảng trống thể chế định hình lợi ích ròng của quốc tế hóa. Lý thuyết Bậc trên (Hambrick &amp; Mason, 1984) cho rằng quyết định chiến lược phản ánh đặc điểm nhận thức và kinh nghiệm của nhà quản trị cấp cao. Lớp mở rộng là lăng kính số (digital lens), đan cài vào bốn lý thuyết, làm sắc nét các cơ chế cũ trong điều kiện công nghệ mới (Banalieva &amp; Dhanaraj, 2019; Stallkamp &amp; Schotter, 2021; Verhoef et al., 2021).</w:t>
      </w:r>
    </w:p>
    <w:p>
      <w:pPr>
        <w:pStyle w:val="BodyText"/>
      </w:pPr>
      <w:r>
        <w:t xml:space="preserve">Trên cơ sở đó, luận án phát triển một</w:t>
      </w:r>
      <w:r>
        <w:t xml:space="preserve"> </w:t>
      </w:r>
      <w:r>
        <w:rPr>
          <w:bCs/>
          <w:b/>
        </w:rPr>
        <w:t xml:space="preserve">khung lý thuyết phân tầng ba lớp</w:t>
      </w:r>
      <w:r>
        <w:t xml:space="preserve"> </w:t>
      </w:r>
      <w:r>
        <w:t xml:space="preserve">(chi tiết tại Chương 2 §2.5.1–2.5.4). Lớp một là</w:t>
      </w:r>
      <w:r>
        <w:t xml:space="preserve"> </w:t>
      </w:r>
      <w:r>
        <w:rPr>
          <w:bCs/>
          <w:b/>
        </w:rPr>
        <w:t xml:space="preserve">CIMT (Capability–Institution Mismatch Theory)</w:t>
      </w:r>
      <w:r>
        <w:t xml:space="preserve"> </w:t>
      </w:r>
      <w:r>
        <w:t xml:space="preserve">— cơ chế lý thuyết bao trùm tầm trung (Merton, 1968; Whetten, 1989; Corley &amp; Gioia, 2011) tích hợp ba kênh đã được khẳng định: rent protection (Kogut &amp; Zander, 1993; Zaheer, 1995), liability-of-foreignness attenuation (Peng et al., 2008), và institutional-void amplification (Khanna &amp; Palepu, 2010), giải thích vì sao hiệu quả I-P thay đổi khi năng lực doanh nghiệp và môi trường thể chế lệch pha. Lớp hai là</w:t>
      </w:r>
      <w:r>
        <w:t xml:space="preserve"> </w:t>
      </w:r>
      <w:r>
        <w:rPr>
          <w:bCs/>
          <w:b/>
        </w:rPr>
        <w:t xml:space="preserve">ICRV (Institutional Context Regime Variation)</w:t>
      </w:r>
      <w:r>
        <w:t xml:space="preserve"> </w:t>
      </w:r>
      <w:r>
        <w:t xml:space="preserve">— taxonomy phân loại 45 nền kinh tế trên hai trục (institutional capability × resource vulnerability) thành sáu nhóm chế độ. Lớp ba là</w:t>
      </w:r>
      <w:r>
        <w:t xml:space="preserve"> </w:t>
      </w:r>
      <w:r>
        <w:rPr>
          <w:bCs/>
          <w:b/>
        </w:rPr>
        <w:t xml:space="preserve">CDCM (Context-Contingent Digital-and-Capability Model)</w:t>
      </w:r>
      <w:r>
        <w:t xml:space="preserve"> </w:t>
      </w:r>
      <w:r>
        <w:t xml:space="preserve">— biểu hiện thực nghiệm cấp doanh nghiệp dưới điều kiện số hóa, với TCI và DAI tách riêng để kiểm định observable signature của CIMT. Trong khung này, FSTS là biến độc lập chính và năng suất lao động là biến phụ thuộc; đặc điểm nhà quản trị cấp cao là khối kiểm soát quản trị nội sinh.</w:t>
      </w:r>
    </w:p>
    <w:bookmarkEnd w:id="27"/>
    <w:bookmarkStart w:id="28" w:name="khung-phân-tích-icrv"/>
    <w:p>
      <w:pPr>
        <w:pStyle w:val="Heading2"/>
      </w:pPr>
      <w:r>
        <w:t xml:space="preserve">Khung phân tích ICRV</w:t>
      </w:r>
    </w:p>
    <w:p>
      <w:pPr>
        <w:pStyle w:val="FirstParagraph"/>
      </w:pPr>
      <w:r>
        <w:t xml:space="preserve">Khung Biến thiên chế độ bối cảnh thể chế (Institutional Context Regime Variation — ICRV) phân loại các nền kinh tế thành sáu nhóm con, dựa trên tổ hợp ba căn cứ: bộ chỉ số quản trị thế giới (World Governance Indicators — WGI) của Kaufmann et al. (2011), mức độ phát triển kinh tế đo bằng thu nhập bình quân đầu người, và đặc trưng cấu trúc thể chế. Về khái niệm, ICRV sắp xếp các nền kinh tế theo hai chiều phân biệt mà các phân loại trước thường gộp chung: năng lực thể chế và mức độ tổn thương nguồn lực. Sáu nhóm gồm Nhóm I tiên tiến dẫn dắt bằng đổi mới (Singapore, Hàn Quốc, Đài Loan), Nhóm II tiên tiến dẫn dắt bằng tài nguyên (các nền kinh tế vùng Vịnh), Nhóm III thu nhập trung bình cao (Trung Quốc, Malaysia, Thái Lan), Nhóm IV chuyển đổi thu nhập trung bình thấp hay đang nổi (Việt Nam, Ấn Độ, Indonesia), Nhóm V cận biên (Bangladesh, Campuchia, Lào), và Nhóm VI đảo nhỏ Thái Bình Dương (Fiji, Tonga, Vanuatu).</w:t>
      </w:r>
    </w:p>
    <w:p>
      <w:pPr>
        <w:pStyle w:val="BodyText"/>
      </w:pPr>
      <w:r>
        <w:t xml:space="preserve">ICRV không chỉ là biến phân loại mà còn là một dải biến thiên thể chế liên tục, điều tiết quan hệ I-P qua hai kênh đan xen. Kênh thứ nhất là thay đổi độ cong (biên độ) của đường cong: ở môi trường thể chế yếu, chi phí giao dịch xuyên biên giới cao làm độ cong của hình chữ U ngược sâu hơn (hình phạt sau đỉnh gay gắt hơn), còn ở môi trường thể chế mạnh đường cong phẳng hơn, gần như tuyến tính; điểm uốn không dịch chuyển đơn điệu mà phân tán quanh mức ~40%. Kênh thứ hai là thay thế số cho thể chế (digital-for-institutional substitution): nơi khoảng trống thể chế ngự trị, công cụ số trở thành một sự thay thế đáng kể cho các cơ chế chính thức còn thiếu, qua đó vai trò định hình đường cong của DAI mạnh hơn ở nhóm thể chế yếu. Nhóm VI giữ vai trò đặc biệt như một điều kiện biên cực trị, nơi ba điều kiện cấu trúc cơ bản của chữ U ngược có thể cùng bị vi phạm.</w:t>
      </w:r>
    </w:p>
    <w:bookmarkEnd w:id="28"/>
    <w:bookmarkStart w:id="29" w:name="hệ-giả-thuyết"/>
    <w:p>
      <w:pPr>
        <w:pStyle w:val="Heading2"/>
      </w:pPr>
      <w:r>
        <w:t xml:space="preserve">Hệ giả thuyết</w:t>
      </w:r>
    </w:p>
    <w:p>
      <w:pPr>
        <w:pStyle w:val="FirstParagraph"/>
      </w:pPr>
      <w:r>
        <w:t xml:space="preserve">Trên nền tảng khung phân tầng CIMT–ICRV–CDCM, luận án phát triển sáu giả thuyết chính cùng một điều kiện biên. H1 cho rằng quan hệ I-P có dạng phi tuyến chữ U ngược, đạt một điểm uốn tối ưu trước khi chi phí điều phối vượt qua lợi ích. Điều kiện biên H1b cho rằng tại các nền kinh tế đảo nhỏ Thái Bình Dương (ICRV Nhóm VI), quan hệ giữa FSTS và năng suất lao động là âm đơn điệu, không có điểm uốn, phản ánh gánh nặng quốc tế hóa bắt buộc. H2 cho rằng TCI làm gia tăng tác động tích cực của quốc tế hóa, chủ yếu bằng cách nâng mặt bằng hiệu quả. H3 cho rằng DAI điều tiết quan hệ I-P bằng cách làm thay đổi độ dốc và độ cong, rõ nhất ở mức cường độ xuất khẩu cao, theo cơ chế khác với TCI. H4 (kiểm soát quản trị nội sinh) cho rằng kinh nghiệm, học vấn và sự hiện diện của nhà quản trị nữ nâng mặt bằng hiệu quả và được đưa vào như nhóm biến kiểm soát quản trị nội sinh, không phải nhân tố điều tiết trọng tâm định hình độ cong của đường quan hệ I-P; ký hiệu H4 được giữ nguyên để tương thích với các bản thảo đồng hành (phân tích Việt Nam, Singapore và Trung Quốc). H5 cho rằng chế độ thể chế ICRV điều tiết quan hệ I-P, với điểm uốn sớm hơn ở nền kinh tế thể chế mạnh; vai trò định hình đường cong của DAI mạnh hơn ở chế độ thể chế yếu. H6 cho rằng hình dạng phi tuyến có thể thay đổi theo thời gian ở các nền kinh tế chuyển đổi nhanh.</w:t>
      </w:r>
    </w:p>
    <w:bookmarkEnd w:id="29"/>
    <w:bookmarkStart w:id="30" w:name="phương-pháp-nghiên-cứu"/>
    <w:p>
      <w:pPr>
        <w:pStyle w:val="Heading2"/>
      </w:pPr>
      <w:r>
        <w:t xml:space="preserve">Phương pháp nghiên cứu</w:t>
      </w:r>
    </w:p>
    <w:p>
      <w:pPr>
        <w:pStyle w:val="FirstParagraph"/>
      </w:pPr>
      <w:r>
        <w:t xml:space="preserve">Luận án sử dụng thiết kế kết hợp tổng hợp và thực nghiệm (mixed synthesis-empirical design) gồm hai giai đoạn bổ sung. Giai đoạn thứ nhất là phân tích tổng hợp để trả lời câu hỏi đầu tiên; giai đoạn thứ hai là phân tích thực nghiệm doanh nghiệp đa quốc gia. Hai giai đoạn đối thoại hai chiều: phân tích tổng hợp dựng nên bức tranh hệ thống và gợi ý các yếu tố điều tiết cần kiểm định, còn phân tích thực nghiệm cung cấp bằng chứng trực tiếp về bối cảnh châu Á và Thái Bình Dương (Borenstein et al., 2009; Hunter &amp; Schmidt, 2004).</w:t>
      </w:r>
    </w:p>
    <w:p>
      <w:pPr>
        <w:pStyle w:val="BodyText"/>
      </w:pPr>
      <w:r>
        <w:t xml:space="preserve">Giai đoạn phân tích tổng hợp mở rộng phạm vi từ 1982-2026, sử dụng mô hình hiệu ứng ngẫu nhiên (random effects) với phép biến đổi Fisher’s z theo giao thức PRISMA 2020, phân tích nhóm con theo chế độ thể chế, và kiểm định sai lệch xuất bản (publication bias) qua Egger và Begg-Mazumdar. Tập nghiên cứu đạt k = 238 nghiên cứu với K = 288 mức độ ảnh hưởng, mở rộng từ bản nền ICBEF (k = 113). Giai đoạn thực nghiệm dùng nền tảng dữ liệu WBES, bộ dữ liệu doanh nghiệp chuẩn hóa lớn nhất cho các nền kinh tế đang phát triển và chuyển đổi. Biến phụ thuộc chính là năng suất lao động</w:t>
      </w:r>
      <w:r>
        <w:t xml:space="preserve"> </w:t>
      </w:r>
      <m:oMath>
        <m:r>
          <m:rPr>
            <m:sty m:val="p"/>
          </m:rPr>
          <m:t>ln</m:t>
        </m:r>
        <m:d>
          <m:dPr>
            <m:begChr m:val="("/>
            <m:endChr m:val=")"/>
            <m:sepChr m:val=""/>
            <m:grow/>
          </m:dPr>
          <m:e>
            <m:r>
              <m:rPr>
                <m:nor/>
                <m:sty m:val="p"/>
              </m:rPr>
              <m:t>doanh thu</m:t>
            </m:r>
            <m:r>
              <m:rPr>
                <m:sty m:val="p"/>
              </m:rPr>
              <m:t>/</m:t>
            </m:r>
            <m:r>
              <m:rPr>
                <m:nor/>
                <m:sty m:val="p"/>
              </m:rPr>
              <m:t>lao động</m:t>
            </m:r>
          </m:e>
        </m:d>
      </m:oMath>
      <w:r>
        <w:t xml:space="preserve">; biến độc lập chính là FSTS, với FSTS², FSTS³ để kiểm định phi tuyến. Luận án phân biệt hai cấu trúc số theo nguyên tắc không chồng lấp (non-overlapping): TCI tổng hợp từ cấp phép công nghệ nước ngoài, nghiên cứu và phát triển, đổi mới sản phẩm và chứng nhận chất lượng; DAI tổng hợp từ trang web, thư điện tử, bán hàng trực tuyến (DAI mỏng) hoặc bổ sung thanh toán điện tử và kết nối nhà cung ứng số (DAI giàu). Sự phân tách này được kiểm tra theo bốn tiêu chí cấu trúc hình thành (formative composite) của Coltman et al. (2008).</w:t>
      </w:r>
    </w:p>
    <w:p>
      <w:pPr>
        <w:pStyle w:val="BodyText"/>
      </w:pPr>
      <w:r>
        <w:t xml:space="preserve">Mô hình thực nghiệm dùng hồi quy bình phương tối thiểu thông thường (OLS) với sai số chuẩn vững HC1/HC3, mô hình bậc hai và bậc ba để kiểm định phi tuyến, số hạng tương tác hai chiều và ba chiều để kiểm định vai trò điều tiết, cùng hiệu ứng cố định (fixed effects) theo quốc gia và năm. Kiểm định Lind-Mehlum được áp dụng để xác nhận dạng chữ U ngược và định vị điểm uốn (turning point), tính theo</w:t>
      </w:r>
      <w:r>
        <w:t xml:space="preserve"> </w:t>
      </w:r>
      <m:oMath>
        <m:r>
          <m:rPr>
            <m:sty m:val="p"/>
          </m:rPr>
          <m:t>−</m:t>
        </m:r>
        <m:sSub>
          <m:e>
            <m:r>
              <m:t>β</m:t>
            </m:r>
          </m:e>
          <m:sub>
            <m:r>
              <m:t>1</m:t>
            </m:r>
          </m:sub>
        </m:sSub>
        <m:r>
          <m:rPr>
            <m:sty m:val="p"/>
          </m:rPr>
          <m:t>/</m:t>
        </m:r>
        <m:d>
          <m:dPr>
            <m:begChr m:val="("/>
            <m:endChr m:val=")"/>
            <m:sepChr m:val=""/>
            <m:grow/>
          </m:dPr>
          <m:e>
            <m:r>
              <m:t>2</m:t>
            </m:r>
            <m:sSub>
              <m:e>
                <m:r>
                  <m:t>β</m:t>
                </m:r>
              </m:e>
              <m:sub>
                <m:r>
                  <m:t>2</m:t>
                </m:r>
              </m:sub>
            </m:sSub>
          </m:e>
        </m:d>
      </m:oMath>
      <w:r>
        <w:t xml:space="preserve">, trong khi kiểm định Paternoster so sánh điểm uốn giữa các chế độ thể chế và giữa các giai đoạn thời gian. Toàn bộ chương trình kiểm định được tổ chức thành các nghiên cứu thành phần: phân tích Việt Nam (Việt Nam, ba sóng 2009/2015/2023), phân tích Singapore (Singapore, 2023), phân tích Trung Quốc (Trung Quốc, 2012 và 2024), phân tích tổng hợp (phân tích tổng hợp ba tầng), phân tích đa quốc gia (đa quốc gia 45 nền kinh tế), và phân tích SIDS Thái Bình Dương (đảo nhỏ Thái Bình Dương). Chiến lược kiểm định độ vững gồm thay đổi thước đo biến phụ thuộc và biến độc lập, mẫu phụ theo nhóm con ICRV, winsorization xử lý giá trị ngoại lai, kiểm định đa cộng tuyến (VIF) và phương sai thay đổi, cùng phân tích bỏ một nghiên cứu (leave-one-out) và cắt và bù (trim-and-fill) cho phân tích tổng hợp.</w:t>
      </w:r>
    </w:p>
    <w:p>
      <w:r>
        <w:pict>
          <v:rect style="width:0;height:1.5pt" o:hralign="center" o:hrstd="t" o:hr="t"/>
        </w:pict>
      </w:r>
    </w:p>
    <w:bookmarkEnd w:id="30"/>
    <w:bookmarkEnd w:id="31"/>
    <w:bookmarkStart w:id="38" w:name="kết-quả-nghiên-cứu-và-thảo-luận"/>
    <w:p>
      <w:pPr>
        <w:pStyle w:val="Heading1"/>
      </w:pPr>
      <w:r>
        <w:t xml:space="preserve">KẾT QUẢ NGHIÊN CỨU VÀ THẢO LUẬN</w:t>
      </w:r>
    </w:p>
    <w:bookmarkStart w:id="32" w:name="bức-tranh-mô-tả-tổng-thể"/>
    <w:p>
      <w:pPr>
        <w:pStyle w:val="Heading2"/>
      </w:pPr>
      <w:r>
        <w:t xml:space="preserve">Bức tranh mô tả tổng thể</w:t>
      </w:r>
    </w:p>
    <w:p>
      <w:pPr>
        <w:pStyle w:val="FirstParagraph"/>
      </w:pPr>
      <w:r>
        <w:t xml:space="preserve">Phân tích mô tả trên nhóm dữ liệu gộp gồm 101.185 doanh nghiệp thuộc 47 nền kinh tế giai đoạn 2009-2025 cho thấy hiệu quả hoạt động phân tán mạnh và không hội tụ về một mức chung. Năng suất lao động có độ lệch chuẩn dao động từ 0,49 ở nhóm tiên tiến dẫn dắt bằng tài nguyên đến 1,36 ở nhóm cận biên. Phát hiện mô tả quan trọng nhất nằm ở sự phân biệt trong nội bộ nhóm tiên tiến: tỷ số phân tán giữa nhóm dẫn dắt bằng đổi mới (sd ≈ 1,03) và nhóm dẫn dắt bằng tài nguyên (sd ≈ 0,49) đạt xấp xỉ 2,1 lần, phản ánh hai cơ chế tăng trưởng hoàn toàn khác nhau và giải thích vì sao việc gộp hai loại nền kinh tế tiên tiến vào một nhóm sẽ che khuất cơ chế phân biệt quan trọng. Trung vị FSTS bằng 0% ở tất cả các nhóm, chỉ 15-23% doanh nghiệp tham gia xuất khẩu, cho thấy sự phân cực mạnh trong tham gia xuất khẩu. Đáng chú ý là hiện tượng nhảy vọt công nghệ số (digital leapfrog) ở nhóm đảo nhỏ, với tỷ lệ trang web 58,9% vượt cả nhóm mới nổi 49,2% dù thu nhập thấp hơn: nhóm đảo nhỏ có DAI cao nhưng TCI thấp nhất, củng cố lập luận về sự phân biệt giữa DAI và TCI.</w:t>
      </w:r>
    </w:p>
    <w:bookmarkEnd w:id="32"/>
    <w:bookmarkStart w:id="33" w:name="X57d1ba481f3adc8a8a0d01f63f1baae31e6de2b"/>
    <w:p>
      <w:pPr>
        <w:pStyle w:val="Heading2"/>
      </w:pPr>
      <w:r>
        <w:t xml:space="preserve">Phân tích tổng hợp ba tầng (phân tích tổng hợp)</w:t>
      </w:r>
    </w:p>
    <w:p>
      <w:pPr>
        <w:pStyle w:val="FirstParagraph"/>
      </w:pPr>
      <w:r>
        <w:t xml:space="preserve">Phân tích tổng hợp ba tầng trên k = 238 nghiên cứu và K = 288 mức độ ảnh hưởng cho hiệu ứng gộp</w:t>
      </w:r>
      <w:r>
        <w:t xml:space="preserve"> </w:t>
      </w:r>
      <m:oMath>
        <m:sSub>
          <m:e>
            <m:acc>
              <m:accPr>
                <m:chr m:val="̂"/>
              </m:accPr>
              <m:e>
                <m:r>
                  <m:t>r</m:t>
                </m:r>
              </m:e>
            </m:acc>
          </m:e>
          <m:sub>
            <m:r>
              <m:t>3</m:t>
            </m:r>
            <m:r>
              <m:t>L</m:t>
            </m:r>
          </m:sub>
        </m:sSub>
        <m:r>
          <m:rPr>
            <m:sty m:val="p"/>
          </m:rPr>
          <m:t>=</m:t>
        </m:r>
        <m:r>
          <m:t>0</m:t>
        </m:r>
        <m:r>
          <m:rPr>
            <m:sty m:val="p"/>
          </m:rPr>
          <m:t>,</m:t>
        </m:r>
        <m:r>
          <m:t>074</m:t>
        </m:r>
      </m:oMath>
      <w:r>
        <w:t xml:space="preserve"> </w:t>
      </w:r>
      <w:r>
        <w:t xml:space="preserve">(95% CI [0,060; 0,088], p &lt; ,001), hoàn toàn nhất quán với mức tham chiếu r = 0,07 từ phân tích tổng hợp đã công bố tại hội nghị ICBEF của Đỗ và Phan (2024) với k = 113. Kết quả quan trọng nhất không nằm ở giá trị điểm của</w:t>
      </w:r>
      <w:r>
        <w:t xml:space="preserve"> </w:t>
      </w:r>
      <m:oMath>
        <m:acc>
          <m:accPr>
            <m:chr m:val="̂"/>
          </m:accPr>
          <m:e>
            <m:r>
              <m:t>r</m:t>
            </m:r>
          </m:e>
        </m:acc>
      </m:oMath>
      <w:r>
        <w:t xml:space="preserve"> </w:t>
      </w:r>
      <w:r>
        <w:t xml:space="preserve">mà ở cấu trúc dị biệt. Tổng I² = 87,8% được phân tách thành 76,1% ở tầng 2 (trong nghiên cứu) và 11,8% ở tầng 3 (giữa các nghiên cứu), tức dị biệt tầng 2 lớn hơn tầng 3 khoảng sáu lần. Phát hiện này hàm ý rằng sự thiếu nhất quán trong tài liệu I-P chủ yếu là vấn đề đo lường và vận hành hóa khái niệm bên trong từng nghiên cứu, chứ không phải bằng chứng về một sự thiếu nhất quán thực sự trong quan hệ nhân quả. Kiểm định điều tiết theo chế độ thể chế ICRV có ý nghĩa trên toàn mẫu (</w:t>
      </w:r>
      <m:oMath>
        <m:sSub>
          <m:e>
            <m:r>
              <m:t>Q</m:t>
            </m:r>
          </m:e>
          <m:sub>
            <m:r>
              <m:t>M</m:t>
            </m:r>
          </m:sub>
        </m:sSub>
        <m:r>
          <m:rPr>
            <m:sty m:val="p"/>
          </m:rPr>
          <m:t>=</m:t>
        </m:r>
        <m:r>
          <m:t>17</m:t>
        </m:r>
        <m:r>
          <m:rPr>
            <m:sty m:val="p"/>
          </m:rPr>
          <m:t>,</m:t>
        </m:r>
        <m:r>
          <m:t>35</m:t>
        </m:r>
      </m:oMath>
      <w:r>
        <w:t xml:space="preserve">,</w:t>
      </w:r>
      <w:r>
        <w:t xml:space="preserve"> </w:t>
      </w:r>
      <m:oMath>
        <m:r>
          <m:t>d</m:t>
        </m:r>
        <m:r>
          <m:t>f</m:t>
        </m:r>
        <m:r>
          <m:rPr>
            <m:sty m:val="p"/>
          </m:rPr>
          <m:t>=</m:t>
        </m:r>
        <m:r>
          <m:t>4</m:t>
        </m:r>
      </m:oMath>
      <w:r>
        <w:t xml:space="preserve">,</w:t>
      </w:r>
      <w:r>
        <w:t xml:space="preserve"> </w:t>
      </w:r>
      <m:oMath>
        <m:r>
          <m:t>p</m:t>
        </m:r>
        <m:r>
          <m:rPr>
            <m:sty m:val="p"/>
          </m:rPr>
          <m:t>=</m:t>
        </m:r>
        <m:r>
          <m:rPr>
            <m:sty m:val="p"/>
          </m:rPr>
          <m:t>,</m:t>
        </m:r>
        <m:r>
          <m:t>002</m:t>
        </m:r>
      </m:oMath>
      <w:r>
        <w:t xml:space="preserve">) nhưng</w:t>
      </w:r>
      <w:r>
        <w:t xml:space="preserve"> </w:t>
      </w:r>
      <w:r>
        <w:rPr>
          <w:bCs/>
          <w:b/>
        </w:rPr>
        <w:t xml:space="preserve">không bền vững</w:t>
      </w:r>
      <w:r>
        <w:t xml:space="preserve">: bỏ ô Frontier thưa (k = 3) thì về không có ý nghĩa (</w:t>
      </w:r>
      <m:oMath>
        <m:sSub>
          <m:e>
            <m:r>
              <m:t>Q</m:t>
            </m:r>
          </m:e>
          <m:sub>
            <m:r>
              <m:t>M</m:t>
            </m:r>
          </m:sub>
        </m:sSub>
        <m:r>
          <m:rPr>
            <m:sty m:val="p"/>
          </m:rPr>
          <m:t>=</m:t>
        </m:r>
        <m:r>
          <m:t>1</m:t>
        </m:r>
        <m:r>
          <m:rPr>
            <m:sty m:val="p"/>
          </m:rPr>
          <m:t>,</m:t>
        </m:r>
        <m:r>
          <m:t>49</m:t>
        </m:r>
      </m:oMath>
      <w:r>
        <w:t xml:space="preserve">,</w:t>
      </w:r>
      <w:r>
        <w:t xml:space="preserve"> </w:t>
      </w:r>
      <m:oMath>
        <m:r>
          <m:t>p</m:t>
        </m:r>
        <m:r>
          <m:rPr>
            <m:sty m:val="p"/>
          </m:rPr>
          <m:t>=</m:t>
        </m:r>
        <m:r>
          <m:rPr>
            <m:sty m:val="p"/>
          </m:rPr>
          <m:t>,</m:t>
        </m:r>
        <m:r>
          <m:t>68</m:t>
        </m:r>
      </m:oMath>
      <w:r>
        <w:t xml:space="preserve">), cho thấy ở cấp văn liệu điều tiết thể chế trực tiếp là yếu — tính ngữ cảnh thể chế được xác lập vững chắc ở cấp doanh nghiệp qua tương tác có điều kiện (xem phân tích đa quốc gia). Phân tích sai lệch xuất bản qua Begg-Mazumdar có ý nghĩa (</w:t>
      </w:r>
      <m:oMath>
        <m:r>
          <m:t>τ</m:t>
        </m:r>
        <m:r>
          <m:rPr>
            <m:sty m:val="p"/>
          </m:rPr>
          <m:t>=</m:t>
        </m:r>
        <m:r>
          <m:rPr>
            <m:sty m:val="p"/>
          </m:rPr>
          <m:t>−</m:t>
        </m:r>
        <m:r>
          <m:t>0</m:t>
        </m:r>
        <m:r>
          <m:rPr>
            <m:sty m:val="p"/>
          </m:rPr>
          <m:t>,</m:t>
        </m:r>
        <m:r>
          <m:t>134</m:t>
        </m:r>
      </m:oMath>
      <w:r>
        <w:t xml:space="preserve">,</w:t>
      </w:r>
      <w:r>
        <w:t xml:space="preserve"> </w:t>
      </w:r>
      <m:oMath>
        <m:r>
          <m:t>p</m:t>
        </m:r>
        <m:r>
          <m:rPr>
            <m:sty m:val="p"/>
          </m:rPr>
          <m:t>=</m:t>
        </m:r>
        <m:r>
          <m:rPr>
            <m:sty m:val="p"/>
          </m:rPr>
          <m:t>,</m:t>
        </m:r>
        <m:r>
          <m:t>0007</m:t>
        </m:r>
      </m:oMath>
      <w:r>
        <w:t xml:space="preserve">); phương pháp cắt và bù nội suy thêm k = 58 nghiên cứu và điều chỉnh ước lượng từ r = 0,074 xuống</w:t>
      </w:r>
      <w:r>
        <w:t xml:space="preserve"> </w:t>
      </w:r>
      <m:oMath>
        <m:sSub>
          <m:e>
            <m:r>
              <m:t>r</m:t>
            </m:r>
          </m:e>
          <m:sub>
            <m:r>
              <m:rPr>
                <m:nor/>
                <m:sty m:val="p"/>
              </m:rPr>
              <m:t>adj</m:t>
            </m:r>
          </m:sub>
        </m:sSub>
        <m:r>
          <m:rPr>
            <m:sty m:val="p"/>
          </m:rPr>
          <m:t>=</m:t>
        </m:r>
        <m:r>
          <m:t>0</m:t>
        </m:r>
        <m:r>
          <m:rPr>
            <m:sty m:val="p"/>
          </m:rPr>
          <m:t>,</m:t>
        </m:r>
        <m:r>
          <m:t>035</m:t>
        </m:r>
      </m:oMath>
      <w:r>
        <w:t xml:space="preserve">, vẫn dương nhưng bị suy giảm. Chỉ số an toàn Fail-safe N = 45.848 vượt xa ngưỡng tới hạn.</w:t>
      </w:r>
    </w:p>
    <w:bookmarkEnd w:id="33"/>
    <w:bookmarkStart w:id="34" w:name="X2211c9df96706adf979c72912d0dfbc1dae7ce1"/>
    <w:p>
      <w:pPr>
        <w:pStyle w:val="Heading2"/>
      </w:pPr>
      <w:r>
        <w:t xml:space="preserve">Kết quả đa quốc gia trên 45 nền kinh tế (phân tích đa quốc gia 45 nền kinh tế)</w:t>
      </w:r>
    </w:p>
    <w:p>
      <w:pPr>
        <w:pStyle w:val="FirstParagraph"/>
      </w:pPr>
      <w:r>
        <w:t xml:space="preserve">Phân tích phân tích đa quốc gia là kiểm định quy mô lớn nhất, trải dài 45 nền kinh tế và 98 đợt khảo sát quốc gia-năm. Với N = 82.302 quan sát, mô hình bậc hai cho hệ số bậc nhất dương (</w:t>
      </w:r>
      <m:oMath>
        <m:sSub>
          <m:e>
            <m:r>
              <m:t>β</m:t>
            </m:r>
          </m:e>
          <m:sub>
            <m:r>
              <m:t>1</m:t>
            </m:r>
          </m:sub>
        </m:sSub>
        <m:r>
          <m:rPr>
            <m:sty m:val="p"/>
          </m:rPr>
          <m:t>=</m:t>
        </m:r>
        <m:r>
          <m:rPr>
            <m:sty m:val="p"/>
          </m:rPr>
          <m:t>+</m:t>
        </m:r>
        <m:r>
          <m:t>1</m:t>
        </m:r>
        <m:r>
          <m:rPr>
            <m:sty m:val="p"/>
          </m:rPr>
          <m:t>,</m:t>
        </m:r>
        <m:r>
          <m:t>211</m:t>
        </m:r>
      </m:oMath>
      <w:r>
        <w:t xml:space="preserve">,</w:t>
      </w:r>
      <w:r>
        <w:t xml:space="preserve"> </w:t>
      </w:r>
      <m:oMath>
        <m:r>
          <m:t>p</m:t>
        </m:r>
        <m:r>
          <m:rPr>
            <m:sty m:val="p"/>
          </m:rPr>
          <m:t>&lt;</m:t>
        </m:r>
        <m:r>
          <m:rPr>
            <m:sty m:val="p"/>
          </m:rPr>
          <m:t>,</m:t>
        </m:r>
        <m:r>
          <m:t>001</m:t>
        </m:r>
      </m:oMath>
      <w:r>
        <w:t xml:space="preserve">) và bậc hai âm (</w:t>
      </w:r>
      <m:oMath>
        <m:sSub>
          <m:e>
            <m:r>
              <m:t>β</m:t>
            </m:r>
          </m:e>
          <m:sub>
            <m:r>
              <m:t>2</m:t>
            </m:r>
          </m:sub>
        </m:sSub>
        <m:r>
          <m:rPr>
            <m:sty m:val="p"/>
          </m:rPr>
          <m:t>=</m:t>
        </m:r>
        <m:r>
          <m:rPr>
            <m:sty m:val="p"/>
          </m:rPr>
          <m:t>−</m:t>
        </m:r>
        <m:r>
          <m:t>1</m:t>
        </m:r>
        <m:r>
          <m:rPr>
            <m:sty m:val="p"/>
          </m:rPr>
          <m:t>,</m:t>
        </m:r>
        <m:r>
          <m:t>630</m:t>
        </m:r>
      </m:oMath>
      <w:r>
        <w:t xml:space="preserve">,</w:t>
      </w:r>
      <w:r>
        <w:t xml:space="preserve"> </w:t>
      </w:r>
      <m:oMath>
        <m:r>
          <m:t>p</m:t>
        </m:r>
        <m:r>
          <m:rPr>
            <m:sty m:val="p"/>
          </m:rPr>
          <m:t>&lt;</m:t>
        </m:r>
        <m:r>
          <m:rPr>
            <m:sty m:val="p"/>
          </m:rPr>
          <m:t>,</m:t>
        </m:r>
        <m:r>
          <m:t>001</m:t>
        </m:r>
      </m:oMath>
      <w:r>
        <w:t xml:space="preserve">), nhất quán với đường cong chữ U ngược; cả bốn điều kiện hình thức của Haans và cộng sự (2016) đều thỏa mãn, được xác nhận bằng kiểm định Lind-Mehlum (joint p &lt; ,001). Mô hình M5 với hiệu ứng cố định quốc gia và năm (adjR² = ,671) cho điểm uốn 39,5% FSTS; điểm uốn dao động nhất quán trong dải hẹp 34,1–39,5% qua các đặc tả nền M2, M3 và M5 và được xác nhận lại trong mô hình ba chiều đầy đủ M11 (TP = 25,7%,</w:t>
      </w:r>
      <w:r>
        <w:t xml:space="preserve"> </w:t>
      </w:r>
      <m:oMath>
        <m:sSub>
          <m:e>
            <m:r>
              <m:t>p</m:t>
            </m:r>
          </m:e>
          <m:sub>
            <m:r>
              <m:rPr>
                <m:nor/>
                <m:sty m:val="p"/>
              </m:rPr>
              <m:t>LM</m:t>
            </m:r>
          </m:sub>
        </m:sSub>
        <m:r>
          <m:rPr>
            <m:sty m:val="p"/>
          </m:rPr>
          <m:t>=</m:t>
        </m:r>
        <m:r>
          <m:rPr>
            <m:sty m:val="p"/>
          </m:rPr>
          <m:t>,</m:t>
        </m:r>
        <m:r>
          <m:t>026</m:t>
        </m:r>
      </m:oMath>
      <w:r>
        <w:t xml:space="preserve">, N = 28.500), với điểm uốn tổng thể vào khoảng 37% FSTS.</w:t>
      </w:r>
    </w:p>
    <w:p>
      <w:pPr>
        <w:pStyle w:val="BodyText"/>
      </w:pPr>
      <w:r>
        <w:t xml:space="preserve">Kết quả quan trọng nhất của phân tích đa quốc gia là xác nhận vai trò điều tiết của ICRV. Hai số hạng tương tác FSTS×ICRV (</w:t>
      </w:r>
      <m:oMath>
        <m:r>
          <m:t>β</m:t>
        </m:r>
        <m:r>
          <m:rPr>
            <m:sty m:val="p"/>
          </m:rPr>
          <m:t>=</m:t>
        </m:r>
        <m:r>
          <m:rPr>
            <m:sty m:val="p"/>
          </m:rPr>
          <m:t>+</m:t>
        </m:r>
        <m:r>
          <m:t>1</m:t>
        </m:r>
        <m:r>
          <m:rPr>
            <m:sty m:val="p"/>
          </m:rPr>
          <m:t>,</m:t>
        </m:r>
        <m:r>
          <m:t>849</m:t>
        </m:r>
      </m:oMath>
      <w:r>
        <w:t xml:space="preserve">,</w:t>
      </w:r>
      <w:r>
        <w:t xml:space="preserve"> </w:t>
      </w:r>
      <m:oMath>
        <m:r>
          <m:t>p</m:t>
        </m:r>
        <m:r>
          <m:rPr>
            <m:sty m:val="p"/>
          </m:rPr>
          <m:t>&lt;</m:t>
        </m:r>
        <m:r>
          <m:rPr>
            <m:sty m:val="p"/>
          </m:rPr>
          <m:t>,</m:t>
        </m:r>
        <m:r>
          <m:t>001</m:t>
        </m:r>
      </m:oMath>
      <w:r>
        <w:t xml:space="preserve">) và FSTS²×ICRV (</w:t>
      </w:r>
      <m:oMath>
        <m:r>
          <m:t>β</m:t>
        </m:r>
        <m:r>
          <m:rPr>
            <m:sty m:val="p"/>
          </m:rPr>
          <m:t>=</m:t>
        </m:r>
        <m:r>
          <m:rPr>
            <m:sty m:val="p"/>
          </m:rPr>
          <m:t>−</m:t>
        </m:r>
        <m:r>
          <m:t>2</m:t>
        </m:r>
        <m:r>
          <m:rPr>
            <m:sty m:val="p"/>
          </m:rPr>
          <m:t>,</m:t>
        </m:r>
        <m:r>
          <m:t>932</m:t>
        </m:r>
      </m:oMath>
      <w:r>
        <w:t xml:space="preserve">,</w:t>
      </w:r>
      <w:r>
        <w:t xml:space="preserve"> </w:t>
      </w:r>
      <m:oMath>
        <m:r>
          <m:t>p</m:t>
        </m:r>
        <m:r>
          <m:rPr>
            <m:sty m:val="p"/>
          </m:rPr>
          <m:t>&lt;</m:t>
        </m:r>
        <m:r>
          <m:rPr>
            <m:sty m:val="p"/>
          </m:rPr>
          <m:t>,</m:t>
        </m:r>
        <m:r>
          <m:t>001</m:t>
        </m:r>
      </m:oMath>
      <w:r>
        <w:t xml:space="preserve">) cho thấy chế độ thể chế chi phối độ cong (concavity / biên độ) của hình chữ U ngược chứ không phải một dải biến thiên điểm uốn đơn điệu: độ cong sâu dần khi chất lượng thể chế suy giảm, làm hình phạt sau đỉnh gay gắt hơn ở các chế độ thể chế yếu (cận biên, đảo nhỏ) và phẳng dần về gần tuyến tính ở các chế độ tiên tiến. Điểm uốn theo nhóm là không đồng nhất (khoảng 16–50% FSTS), cụm quanh ~40% và không dịch chuyển đơn điệu. Kết quả tương tác có điều kiện này</w:t>
      </w:r>
      <w:r>
        <w:t xml:space="preserve"> </w:t>
      </w:r>
      <w:r>
        <w:rPr>
          <w:bCs/>
          <w:b/>
        </w:rPr>
        <w:t xml:space="preserve">bổ sung</w:t>
      </w:r>
      <w:r>
        <w:t xml:space="preserve"> </w:t>
      </w:r>
      <w:r>
        <w:t xml:space="preserve">cho phân tích tổng hợp: trong khi omnibus ICRV ở cấp văn liệu không bền vững (bỏ ô Frontier → không có ý nghĩa), đặc tả tương tác ở cấp doanh nghiệp làm lộ ra vai trò điều tiết vững chắc của chế độ thể chế mà việc gộp chủ hiệu ứng phân nhóm không phát hiện được. Về năng lực doanh nghiệp, TCI dương và có ý nghĩa trên toàn mẫu (hiệu ứng chính nâng năng suất khoảng 41% trên mỗi đơn vị độ lệch chuẩn), nhưng hai tương tác FSTS×TCI và FSTS²×TCI không đạt ý nghĩa, nên H2 chỉ được xác nhận một phần. DAI cho khuôn mẫu giàu sắc thái hơn: hiệu ứng trực tiếp dương (</w:t>
      </w:r>
      <m:oMath>
        <m:acc>
          <m:accPr>
            <m:chr m:val="̂"/>
          </m:accPr>
          <m:e>
            <m:r>
              <m:t>β</m:t>
            </m:r>
          </m:e>
        </m:acc>
        <m:r>
          <m:rPr>
            <m:sty m:val="p"/>
          </m:rPr>
          <m:t>=</m:t>
        </m:r>
        <m:r>
          <m:rPr>
            <m:sty m:val="p"/>
          </m:rPr>
          <m:t>+</m:t>
        </m:r>
        <m:r>
          <m:t>0</m:t>
        </m:r>
        <m:r>
          <m:rPr>
            <m:sty m:val="p"/>
          </m:rPr>
          <m:t>,</m:t>
        </m:r>
        <m:r>
          <m:t>172</m:t>
        </m:r>
      </m:oMath>
      <w:r>
        <w:t xml:space="preserve">,</w:t>
      </w:r>
      <w:r>
        <w:t xml:space="preserve"> </w:t>
      </w:r>
      <m:oMath>
        <m:r>
          <m:t>p</m:t>
        </m:r>
        <m:r>
          <m:rPr>
            <m:sty m:val="p"/>
          </m:rPr>
          <m:t>&lt;</m:t>
        </m:r>
        <m:r>
          <m:rPr>
            <m:sty m:val="p"/>
          </m:rPr>
          <m:t>,</m:t>
        </m:r>
        <m:r>
          <m:t>001</m:t>
        </m:r>
      </m:oMath>
      <w:r>
        <w:t xml:space="preserve">, tương ứng khoảng 19% lợi thế năng suất), và cả hai tương tác điều tiết đều có ý nghĩa (</w:t>
      </w:r>
      <m:oMath>
        <m:acc>
          <m:accPr>
            <m:chr m:val="̂"/>
          </m:accPr>
          <m:e>
            <m:r>
              <m:t>β</m:t>
            </m:r>
          </m:e>
        </m:acc>
        <m:d>
          <m:dPr>
            <m:begChr m:val="("/>
            <m:endChr m:val=")"/>
            <m:sepChr m:val=""/>
            <m:grow/>
          </m:dPr>
          <m:e>
            <m:r>
              <m:rPr>
                <m:nor/>
                <m:sty m:val="p"/>
              </m:rPr>
              <m:t>FSTS</m:t>
            </m:r>
            <m:r>
              <m:rPr>
                <m:sty m:val="p"/>
              </m:rPr>
              <m:t>×</m:t>
            </m:r>
            <m:r>
              <m:rPr>
                <m:nor/>
                <m:sty m:val="p"/>
              </m:rPr>
              <m:t>DAI</m:t>
            </m:r>
          </m:e>
        </m:d>
        <m:r>
          <m:rPr>
            <m:sty m:val="p"/>
          </m:rPr>
          <m:t>=</m:t>
        </m:r>
        <m:r>
          <m:rPr>
            <m:sty m:val="p"/>
          </m:rPr>
          <m:t>−</m:t>
        </m:r>
        <m:r>
          <m:t>0</m:t>
        </m:r>
        <m:r>
          <m:rPr>
            <m:sty m:val="p"/>
          </m:rPr>
          <m:t>,</m:t>
        </m:r>
        <m:r>
          <m:t>588</m:t>
        </m:r>
      </m:oMath>
      <w:r>
        <w:t xml:space="preserve">,</w:t>
      </w:r>
      <w:r>
        <w:t xml:space="preserve"> </w:t>
      </w:r>
      <m:oMath>
        <m:r>
          <m:t>p</m:t>
        </m:r>
        <m:r>
          <m:rPr>
            <m:sty m:val="p"/>
          </m:rPr>
          <m:t>&lt;</m:t>
        </m:r>
        <m:r>
          <m:rPr>
            <m:sty m:val="p"/>
          </m:rPr>
          <m:t>,</m:t>
        </m:r>
        <m:r>
          <m:t>001</m:t>
        </m:r>
      </m:oMath>
      <w:r>
        <w:t xml:space="preserve">;</w:t>
      </w:r>
      <w:r>
        <w:t xml:space="preserve"> </w:t>
      </w:r>
      <m:oMath>
        <m:acc>
          <m:accPr>
            <m:chr m:val="̂"/>
          </m:accPr>
          <m:e>
            <m:r>
              <m:t>β</m:t>
            </m:r>
          </m:e>
        </m:acc>
        <m:d>
          <m:dPr>
            <m:begChr m:val="("/>
            <m:endChr m:val=")"/>
            <m:sepChr m:val=""/>
            <m:grow/>
          </m:dPr>
          <m:e>
            <m:sSup>
              <m:e>
                <m:r>
                  <m:rPr>
                    <m:nor/>
                    <m:sty m:val="p"/>
                  </m:rPr>
                  <m:t>FSTS</m:t>
                </m:r>
              </m:e>
              <m:sup>
                <m:r>
                  <m:t>2</m:t>
                </m:r>
              </m:sup>
            </m:sSup>
            <m:r>
              <m:rPr>
                <m:sty m:val="p"/>
              </m:rPr>
              <m:t>×</m:t>
            </m:r>
            <m:r>
              <m:rPr>
                <m:nor/>
                <m:sty m:val="p"/>
              </m:rPr>
              <m:t>DAI</m:t>
            </m:r>
          </m:e>
        </m:d>
        <m:r>
          <m:rPr>
            <m:sty m:val="p"/>
          </m:rPr>
          <m:t>=</m:t>
        </m:r>
        <m:r>
          <m:rPr>
            <m:sty m:val="p"/>
          </m:rPr>
          <m:t>+</m:t>
        </m:r>
        <m:r>
          <m:t>0</m:t>
        </m:r>
        <m:r>
          <m:rPr>
            <m:sty m:val="p"/>
          </m:rPr>
          <m:t>,</m:t>
        </m:r>
        <m:r>
          <m:t>726</m:t>
        </m:r>
      </m:oMath>
      <w:r>
        <w:t xml:space="preserve">,</w:t>
      </w:r>
      <w:r>
        <w:t xml:space="preserve"> </w:t>
      </w:r>
      <m:oMath>
        <m:r>
          <m:t>p</m:t>
        </m:r>
        <m:r>
          <m:rPr>
            <m:sty m:val="p"/>
          </m:rPr>
          <m:t>=</m:t>
        </m:r>
        <m:r>
          <m:rPr>
            <m:sty m:val="p"/>
          </m:rPr>
          <m:t>,</m:t>
        </m:r>
        <m:r>
          <m:t>002</m:t>
        </m:r>
      </m:oMath>
      <w:r>
        <w:t xml:space="preserve">), cho thấy doanh nghiệp DAI cao có đường cong I-P phẳng hơn. Tương tác DAI×ICRV có ý nghĩa (</w:t>
      </w:r>
      <m:oMath>
        <m:r>
          <m:t>β</m:t>
        </m:r>
        <m:r>
          <m:rPr>
            <m:sty m:val="p"/>
          </m:rPr>
          <m:t>=</m:t>
        </m:r>
        <m:r>
          <m:rPr>
            <m:sty m:val="p"/>
          </m:rPr>
          <m:t>+</m:t>
        </m:r>
        <m:r>
          <m:t>0</m:t>
        </m:r>
        <m:r>
          <m:rPr>
            <m:sty m:val="p"/>
          </m:rPr>
          <m:t>,</m:t>
        </m:r>
        <m:r>
          <m:t>052</m:t>
        </m:r>
      </m:oMath>
      <w:r>
        <w:t xml:space="preserve">,</w:t>
      </w:r>
      <w:r>
        <w:t xml:space="preserve"> </w:t>
      </w:r>
      <m:oMath>
        <m:r>
          <m:t>p</m:t>
        </m:r>
        <m:r>
          <m:rPr>
            <m:sty m:val="p"/>
          </m:rPr>
          <m:t>=</m:t>
        </m:r>
        <m:r>
          <m:rPr>
            <m:sty m:val="p"/>
          </m:rPr>
          <m:t>,</m:t>
        </m:r>
        <m:r>
          <m:t>049</m:t>
        </m:r>
      </m:oMath>
      <w:r>
        <w:t xml:space="preserve">), xác nhận vai trò của DAI mạnh hơn ở môi trường thể chế yếu, đúng theo cơ chế thay thế số cho thể chế. Đặc điểm nhà quản trị cho thấy kinh nghiệm (</w:t>
      </w:r>
      <m:oMath>
        <m:r>
          <m:t>β</m:t>
        </m:r>
        <m:r>
          <m:rPr>
            <m:sty m:val="p"/>
          </m:rPr>
          <m:t>=</m:t>
        </m:r>
        <m:r>
          <m:rPr>
            <m:sty m:val="p"/>
          </m:rPr>
          <m:t>+</m:t>
        </m:r>
        <m:r>
          <m:t>0</m:t>
        </m:r>
        <m:r>
          <m:rPr>
            <m:sty m:val="p"/>
          </m:rPr>
          <m:t>,</m:t>
        </m:r>
        <m:r>
          <m:t>018</m:t>
        </m:r>
      </m:oMath>
      <w:r>
        <w:t xml:space="preserve">,</w:t>
      </w:r>
      <w:r>
        <w:t xml:space="preserve"> </w:t>
      </w:r>
      <m:oMath>
        <m:r>
          <m:t>p</m:t>
        </m:r>
        <m:r>
          <m:rPr>
            <m:sty m:val="p"/>
          </m:rPr>
          <m:t>&lt;</m:t>
        </m:r>
        <m:r>
          <m:rPr>
            <m:sty m:val="p"/>
          </m:rPr>
          <m:t>,</m:t>
        </m:r>
        <m:r>
          <m:t>001</m:t>
        </m:r>
      </m:oMath>
      <w:r>
        <w:t xml:space="preserve">) và nhà quản trị nữ (</w:t>
      </w:r>
      <m:oMath>
        <m:r>
          <m:t>β</m:t>
        </m:r>
        <m:r>
          <m:rPr>
            <m:sty m:val="p"/>
          </m:rPr>
          <m:t>=</m:t>
        </m:r>
        <m:r>
          <m:rPr>
            <m:sty m:val="p"/>
          </m:rPr>
          <m:t>+</m:t>
        </m:r>
        <m:r>
          <m:t>0</m:t>
        </m:r>
        <m:r>
          <m:rPr>
            <m:sty m:val="p"/>
          </m:rPr>
          <m:t>,</m:t>
        </m:r>
        <m:r>
          <m:t>202</m:t>
        </m:r>
      </m:oMath>
      <w:r>
        <w:t xml:space="preserve">,</w:t>
      </w:r>
      <w:r>
        <w:t xml:space="preserve"> </w:t>
      </w:r>
      <m:oMath>
        <m:r>
          <m:t>p</m:t>
        </m:r>
        <m:r>
          <m:rPr>
            <m:sty m:val="p"/>
          </m:rPr>
          <m:t>&lt;</m:t>
        </m:r>
        <m:r>
          <m:rPr>
            <m:sty m:val="p"/>
          </m:rPr>
          <m:t>,</m:t>
        </m:r>
        <m:r>
          <m:t>001</m:t>
        </m:r>
      </m:oMath>
      <w:r>
        <w:t xml:space="preserve">, lợi thế năng suất khoảng 22%) đều nâng hiệu quả, nên H4 được xác nhận một phần ở dạng nâng mặt bằng.</w:t>
      </w:r>
    </w:p>
    <w:bookmarkEnd w:id="34"/>
    <w:bookmarkStart w:id="35" w:name="kết-quả-nghiên-cứu-đơn-quốc-gia"/>
    <w:p>
      <w:pPr>
        <w:pStyle w:val="Heading2"/>
      </w:pPr>
      <w:r>
        <w:t xml:space="preserve">Kết quả nghiên cứu đơn quốc gia</w:t>
      </w:r>
    </w:p>
    <w:p>
      <w:pPr>
        <w:pStyle w:val="FirstParagraph"/>
      </w:pPr>
      <w:r>
        <w:t xml:space="preserve">Ba nghiên cứu đơn quốc gia định vị quan hệ I-P tại ba vị trí khác nhau trên thang ICRV. Tại Việt Nam (phân tích Việt Nam, Nhóm IV), phân tích trên ba đợt khảo sát với mẫu gộp N = 2.958 xác nhận dạng chữ U ngược, với hệ số bậc nhất dương (</w:t>
      </w:r>
      <m:oMath>
        <m:sSub>
          <m:e>
            <m:r>
              <m:t>β</m:t>
            </m:r>
          </m:e>
          <m:sub>
            <m:r>
              <m:t>1</m:t>
            </m:r>
          </m:sub>
        </m:sSub>
        <m:r>
          <m:rPr>
            <m:sty m:val="p"/>
          </m:rPr>
          <m:t>=</m:t>
        </m:r>
        <m:r>
          <m:rPr>
            <m:sty m:val="p"/>
          </m:rPr>
          <m:t>+</m:t>
        </m:r>
        <m:r>
          <m:t>0</m:t>
        </m:r>
        <m:r>
          <m:rPr>
            <m:sty m:val="p"/>
          </m:rPr>
          <m:t>,</m:t>
        </m:r>
        <m:r>
          <m:t>984</m:t>
        </m:r>
      </m:oMath>
      <w:r>
        <w:t xml:space="preserve">,</w:t>
      </w:r>
      <w:r>
        <w:t xml:space="preserve"> </w:t>
      </w:r>
      <m:oMath>
        <m:r>
          <m:t>p</m:t>
        </m:r>
        <m:r>
          <m:rPr>
            <m:sty m:val="p"/>
          </m:rPr>
          <m:t>&lt;</m:t>
        </m:r>
        <m:r>
          <m:rPr>
            <m:sty m:val="p"/>
          </m:rPr>
          <m:t>,</m:t>
        </m:r>
        <m:r>
          <m:t>001</m:t>
        </m:r>
      </m:oMath>
      <w:r>
        <w:t xml:space="preserve">) và bậc hai âm (</w:t>
      </w:r>
      <m:oMath>
        <m:sSub>
          <m:e>
            <m:r>
              <m:t>β</m:t>
            </m:r>
          </m:e>
          <m:sub>
            <m:r>
              <m:t>2</m:t>
            </m:r>
          </m:sub>
        </m:sSub>
        <m:r>
          <m:rPr>
            <m:sty m:val="p"/>
          </m:rPr>
          <m:t>=</m:t>
        </m:r>
        <m:r>
          <m:rPr>
            <m:sty m:val="p"/>
          </m:rPr>
          <m:t>−</m:t>
        </m:r>
        <m:r>
          <m:t>1</m:t>
        </m:r>
        <m:r>
          <m:rPr>
            <m:sty m:val="p"/>
          </m:rPr>
          <m:t>,</m:t>
        </m:r>
        <m:r>
          <m:t>909</m:t>
        </m:r>
      </m:oMath>
      <w:r>
        <w:t xml:space="preserve">,</w:t>
      </w:r>
      <w:r>
        <w:t xml:space="preserve"> </w:t>
      </w:r>
      <m:oMath>
        <m:r>
          <m:t>p</m:t>
        </m:r>
        <m:r>
          <m:rPr>
            <m:sty m:val="p"/>
          </m:rPr>
          <m:t>&lt;</m:t>
        </m:r>
        <m:r>
          <m:rPr>
            <m:sty m:val="p"/>
          </m:rPr>
          <m:t>,</m:t>
        </m:r>
        <m:r>
          <m:t>001</m:t>
        </m:r>
      </m:oMath>
      <w:r>
        <w:t xml:space="preserve">), kiểm định Lind-Mehlum bác bỏ tính đơn điệu ở mức p &lt; ,001. Điểm uốn cụm quanh 39-46% FSTS: 46,2% (2009), 39,3% (2015), 41,6% (2023), và 39,7% trên mẫu gộp; kiểm định Paternoster xác nhận điểm uốn dịch chuyển đáng kể từ 46,2% xuống 39,3% giữa 2009 và 2015 (</w:t>
      </w:r>
      <m:oMath>
        <m:r>
          <m:t>z</m:t>
        </m:r>
        <m:r>
          <m:rPr>
            <m:sty m:val="p"/>
          </m:rPr>
          <m:t>=</m:t>
        </m:r>
        <m:r>
          <m:t>3</m:t>
        </m:r>
        <m:r>
          <m:rPr>
            <m:sty m:val="p"/>
          </m:rPr>
          <m:t>,</m:t>
        </m:r>
        <m:r>
          <m:t>353</m:t>
        </m:r>
      </m:oMath>
      <w:r>
        <w:t xml:space="preserve">,</w:t>
      </w:r>
      <w:r>
        <w:t xml:space="preserve"> </w:t>
      </w:r>
      <m:oMath>
        <m:r>
          <m:t>p</m:t>
        </m:r>
        <m:r>
          <m:rPr>
            <m:sty m:val="p"/>
          </m:rPr>
          <m:t>&lt;</m:t>
        </m:r>
        <m:r>
          <m:rPr>
            <m:sty m:val="p"/>
          </m:rPr>
          <m:t>,</m:t>
        </m:r>
        <m:r>
          <m:t>001</m:t>
        </m:r>
      </m:oMath>
      <w:r>
        <w:t xml:space="preserve">). TCI là yếu tố điều tiết dương có ý nghĩa (mẫu gộp</w:t>
      </w:r>
      <w:r>
        <w:t xml:space="preserve"> </w:t>
      </w:r>
      <m:oMath>
        <m:r>
          <m:t>β</m:t>
        </m:r>
        <m:r>
          <m:rPr>
            <m:sty m:val="p"/>
          </m:rPr>
          <m:t>=</m:t>
        </m:r>
        <m:r>
          <m:rPr>
            <m:sty m:val="p"/>
          </m:rPr>
          <m:t>+</m:t>
        </m:r>
        <m:r>
          <m:t>0</m:t>
        </m:r>
        <m:r>
          <m:rPr>
            <m:sty m:val="p"/>
          </m:rPr>
          <m:t>,</m:t>
        </m:r>
        <m:r>
          <m:t>179</m:t>
        </m:r>
      </m:oMath>
      <w:r>
        <w:t xml:space="preserve">,</w:t>
      </w:r>
      <w:r>
        <w:t xml:space="preserve"> </w:t>
      </w:r>
      <m:oMath>
        <m:r>
          <m:t>p</m:t>
        </m:r>
        <m:r>
          <m:rPr>
            <m:sty m:val="p"/>
          </m:rPr>
          <m:t>&lt;</m:t>
        </m:r>
        <m:r>
          <m:rPr>
            <m:sty m:val="p"/>
          </m:rPr>
          <m:t>,</m:t>
        </m:r>
        <m:r>
          <m:t>001</m:t>
        </m:r>
      </m:oMath>
      <w:r>
        <w:t xml:space="preserve">; tương tác bậc hai FSTS</w:t>
      </w:r>
      <m:oMath>
        <m:sSub>
          <m:e>
            <m:r>
              <m:t>​</m:t>
            </m:r>
          </m:e>
          <m:sub>
            <m:r>
              <m:t>c</m:t>
            </m:r>
          </m:sub>
        </m:sSub>
      </m:oMath>
      <w:r>
        <w:t xml:space="preserve">×TCI</w:t>
      </w:r>
      <w:r>
        <w:t xml:space="preserve"> </w:t>
      </w:r>
      <m:oMath>
        <m:r>
          <m:rPr>
            <m:sty m:val="p"/>
          </m:rPr>
          <m:t>=</m:t>
        </m:r>
        <m:r>
          <m:rPr>
            <m:sty m:val="p"/>
          </m:rPr>
          <m:t>+</m:t>
        </m:r>
        <m:r>
          <m:t>0</m:t>
        </m:r>
        <m:r>
          <m:rPr>
            <m:sty m:val="p"/>
          </m:rPr>
          <m:t>,</m:t>
        </m:r>
        <m:r>
          <m:t>640</m:t>
        </m:r>
      </m:oMath>
      <w:r>
        <w:t xml:space="preserve">,</w:t>
      </w:r>
      <w:r>
        <w:t xml:space="preserve"> </w:t>
      </w:r>
      <m:oMath>
        <m:r>
          <m:t>p</m:t>
        </m:r>
        <m:r>
          <m:rPr>
            <m:sty m:val="p"/>
          </m:rPr>
          <m:t>=</m:t>
        </m:r>
        <m:r>
          <m:rPr>
            <m:sty m:val="p"/>
          </m:rPr>
          <m:t>,</m:t>
        </m:r>
        <m:r>
          <m:t>031</m:t>
        </m:r>
      </m:oMath>
      <w:r>
        <w:t xml:space="preserve">), trong khi DAI không đạt ý nghĩa trên mẫu gộp do hạn chế đo lường Tier-1.</w:t>
      </w:r>
    </w:p>
    <w:p>
      <w:pPr>
        <w:pStyle w:val="BodyText"/>
      </w:pPr>
      <w:r>
        <w:t xml:space="preserve">Tại Singapore (phân tích Singapore, Nhóm I), phân tích trên N = 623 doanh nghiệp cho số hạng bậc nhất dương (</w:t>
      </w:r>
      <m:oMath>
        <m:r>
          <m:t>β</m:t>
        </m:r>
        <m:r>
          <m:rPr>
            <m:sty m:val="p"/>
          </m:rPr>
          <m:t>=</m:t>
        </m:r>
        <m:r>
          <m:rPr>
            <m:sty m:val="p"/>
          </m:rPr>
          <m:t>+</m:t>
        </m:r>
        <m:r>
          <m:t>2</m:t>
        </m:r>
        <m:r>
          <m:rPr>
            <m:sty m:val="p"/>
          </m:rPr>
          <m:t>,</m:t>
        </m:r>
        <m:r>
          <m:t>652</m:t>
        </m:r>
      </m:oMath>
      <w:r>
        <w:t xml:space="preserve">,</w:t>
      </w:r>
      <w:r>
        <w:t xml:space="preserve"> </w:t>
      </w:r>
      <m:oMath>
        <m:r>
          <m:t>p</m:t>
        </m:r>
        <m:r>
          <m:rPr>
            <m:sty m:val="p"/>
          </m:rPr>
          <m:t>&lt;</m:t>
        </m:r>
        <m:r>
          <m:rPr>
            <m:sty m:val="p"/>
          </m:rPr>
          <m:t>,</m:t>
        </m:r>
        <m:r>
          <m:t>001</m:t>
        </m:r>
      </m:oMath>
      <w:r>
        <w:t xml:space="preserve">) và bậc hai âm cận ngưỡng (</w:t>
      </w:r>
      <m:oMath>
        <m:r>
          <m:t>β</m:t>
        </m:r>
        <m:r>
          <m:rPr>
            <m:sty m:val="p"/>
          </m:rPr>
          <m:t>=</m:t>
        </m:r>
        <m:r>
          <m:rPr>
            <m:sty m:val="p"/>
          </m:rPr>
          <m:t>−</m:t>
        </m:r>
        <m:r>
          <m:t>1</m:t>
        </m:r>
        <m:r>
          <m:rPr>
            <m:sty m:val="p"/>
          </m:rPr>
          <m:t>,</m:t>
        </m:r>
        <m:r>
          <m:t>705</m:t>
        </m:r>
      </m:oMath>
      <w:r>
        <w:t xml:space="preserve">,</w:t>
      </w:r>
      <w:r>
        <w:t xml:space="preserve"> </w:t>
      </w:r>
      <m:oMath>
        <m:r>
          <m:t>p</m:t>
        </m:r>
        <m:r>
          <m:rPr>
            <m:sty m:val="p"/>
          </m:rPr>
          <m:t>=</m:t>
        </m:r>
        <m:r>
          <m:rPr>
            <m:sty m:val="p"/>
          </m:rPr>
          <m:t>,</m:t>
        </m:r>
        <m:r>
          <m:t>068</m:t>
        </m:r>
      </m:oMath>
      <w:r>
        <w:t xml:space="preserve">), với điểm uốn hàm ý rất muộn khoảng 82% FSTS, cao nhất trong tất cả các bối cảnh. Khoảng tin cậy bootstrap của điểm uốn rất rộng [53%, 253%] và kiểm định Lind-Mehlum không xác nhận chữ U ngược ở mức thông thường (</w:t>
      </w:r>
      <m:oMath>
        <m:r>
          <m:t>p</m:t>
        </m:r>
        <m:r>
          <m:rPr>
            <m:sty m:val="p"/>
          </m:rPr>
          <m:t>=</m:t>
        </m:r>
        <m:r>
          <m:rPr>
            <m:sty m:val="p"/>
          </m:rPr>
          <m:t>,</m:t>
        </m:r>
        <m:r>
          <m:t>303</m:t>
        </m:r>
      </m:oMath>
      <w:r>
        <w:t xml:space="preserve">), nên quan hệ được đọc là chủ yếu dương đơn điệu. Phát hiện trọng tâm là vai trò của DAI dưới dạng tương tác bậc hai dương mạnh (</w:t>
      </w:r>
      <m:oMath>
        <m:acc>
          <m:accPr>
            <m:chr m:val="̂"/>
          </m:accPr>
          <m:e>
            <m:r>
              <m:t>β</m:t>
            </m:r>
          </m:e>
        </m:acc>
        <m:d>
          <m:dPr>
            <m:begChr m:val="("/>
            <m:endChr m:val=")"/>
            <m:sepChr m:val=""/>
            <m:grow/>
          </m:dPr>
          <m:e>
            <m:sSup>
              <m:e>
                <m:r>
                  <m:rPr>
                    <m:nor/>
                    <m:sty m:val="p"/>
                  </m:rPr>
                  <m:t>FSTS</m:t>
                </m:r>
              </m:e>
              <m:sup>
                <m:r>
                  <m:t>2</m:t>
                </m:r>
              </m:sup>
            </m:sSup>
            <m:r>
              <m:rPr>
                <m:sty m:val="p"/>
              </m:rPr>
              <m:t>×</m:t>
            </m:r>
            <m:r>
              <m:rPr>
                <m:nor/>
                <m:sty m:val="p"/>
              </m:rPr>
              <m:t>DAI</m:t>
            </m:r>
          </m:e>
        </m:d>
        <m:r>
          <m:rPr>
            <m:sty m:val="p"/>
          </m:rPr>
          <m:t>=</m:t>
        </m:r>
        <m:r>
          <m:rPr>
            <m:sty m:val="p"/>
          </m:rPr>
          <m:t>+</m:t>
        </m:r>
        <m:r>
          <m:t>3</m:t>
        </m:r>
        <m:r>
          <m:rPr>
            <m:sty m:val="p"/>
          </m:rPr>
          <m:t>,</m:t>
        </m:r>
        <m:r>
          <m:t>119</m:t>
        </m:r>
      </m:oMath>
      <w:r>
        <w:t xml:space="preserve">,</w:t>
      </w:r>
      <w:r>
        <w:t xml:space="preserve"> </w:t>
      </w:r>
      <m:oMath>
        <m:r>
          <m:t>p</m:t>
        </m:r>
        <m:r>
          <m:rPr>
            <m:sty m:val="p"/>
          </m:rPr>
          <m:t>=</m:t>
        </m:r>
        <m:r>
          <m:rPr>
            <m:sty m:val="p"/>
          </m:rPr>
          <m:t>,</m:t>
        </m:r>
        <m:r>
          <m:t>005</m:t>
        </m:r>
      </m:oMath>
      <w:r>
        <w:t xml:space="preserve">), được giữ nguyên trong mẫu chỉ gồm doanh nghiệp xuất khẩu (</w:t>
      </w:r>
      <m:oMath>
        <m:r>
          <m:t>β</m:t>
        </m:r>
        <m:r>
          <m:rPr>
            <m:sty m:val="p"/>
          </m:rPr>
          <m:t>=</m:t>
        </m:r>
        <m:r>
          <m:rPr>
            <m:sty m:val="p"/>
          </m:rPr>
          <m:t>+</m:t>
        </m:r>
        <m:r>
          <m:t>2</m:t>
        </m:r>
        <m:r>
          <m:rPr>
            <m:sty m:val="p"/>
          </m:rPr>
          <m:t>,</m:t>
        </m:r>
        <m:r>
          <m:t>821</m:t>
        </m:r>
      </m:oMath>
      <w:r>
        <w:t xml:space="preserve">,</w:t>
      </w:r>
      <w:r>
        <w:t xml:space="preserve"> </w:t>
      </w:r>
      <m:oMath>
        <m:r>
          <m:t>p</m:t>
        </m:r>
        <m:r>
          <m:rPr>
            <m:sty m:val="p"/>
          </m:rPr>
          <m:t>=</m:t>
        </m:r>
        <m:r>
          <m:rPr>
            <m:sty m:val="p"/>
          </m:rPr>
          <m:t>,</m:t>
        </m:r>
        <m:r>
          <m:t>003</m:t>
        </m:r>
      </m:oMath>
      <w:r>
        <w:t xml:space="preserve">): DAI là một nguồn lực tình huống, một bổ trợ tạo quy mô chỉ hiện rõ ở đuôi xuất khẩu cao.</w:t>
      </w:r>
    </w:p>
    <w:p>
      <w:pPr>
        <w:pStyle w:val="BodyText"/>
      </w:pPr>
      <w:r>
        <w:t xml:space="preserve">Tại Trung Quốc (phân tích Trung Quốc, Nhóm III), phân tích hai giai đoạn (N = 2.610 năm 2012; N = 1.934 năm 2024; gộp N = 4.544) xác nhận dạng chữ U ngược ổn định. Điểm uốn được ước lượng tại 49,37% FSTS năm 2012, 47,19% năm 2024, và 48,78% trên mẫu gộp. Kiểm định Paternoster về sự khác biệt hệ số giữa hai đợt không có ý nghĩa cho cả hệ số bậc nhất (</w:t>
      </w:r>
      <m:oMath>
        <m:r>
          <m:t>z</m:t>
        </m:r>
        <m:r>
          <m:rPr>
            <m:sty m:val="p"/>
          </m:rPr>
          <m:t>=</m:t>
        </m:r>
        <m:r>
          <m:rPr>
            <m:sty m:val="p"/>
          </m:rPr>
          <m:t>+</m:t>
        </m:r>
        <m:r>
          <m:t>0</m:t>
        </m:r>
        <m:r>
          <m:rPr>
            <m:sty m:val="p"/>
          </m:rPr>
          <m:t>,</m:t>
        </m:r>
        <m:r>
          <m:t>82</m:t>
        </m:r>
      </m:oMath>
      <w:r>
        <w:t xml:space="preserve">,</w:t>
      </w:r>
      <w:r>
        <w:t xml:space="preserve"> </w:t>
      </w:r>
      <m:oMath>
        <m:r>
          <m:t>p</m:t>
        </m:r>
        <m:r>
          <m:rPr>
            <m:sty m:val="p"/>
          </m:rPr>
          <m:t>=</m:t>
        </m:r>
        <m:r>
          <m:rPr>
            <m:sty m:val="p"/>
          </m:rPr>
          <m:t>,</m:t>
        </m:r>
        <m:r>
          <m:t>412</m:t>
        </m:r>
      </m:oMath>
      <w:r>
        <w:t xml:space="preserve">) lẫn bậc hai (</w:t>
      </w:r>
      <m:oMath>
        <m:r>
          <m:t>z</m:t>
        </m:r>
        <m:r>
          <m:rPr>
            <m:sty m:val="p"/>
          </m:rPr>
          <m:t>=</m:t>
        </m:r>
        <m:r>
          <m:rPr>
            <m:sty m:val="p"/>
          </m:rPr>
          <m:t>−</m:t>
        </m:r>
        <m:r>
          <m:t>0</m:t>
        </m:r>
        <m:r>
          <m:rPr>
            <m:sty m:val="p"/>
          </m:rPr>
          <m:t>,</m:t>
        </m:r>
        <m:r>
          <m:t>61</m:t>
        </m:r>
      </m:oMath>
      <w:r>
        <w:t xml:space="preserve">,</w:t>
      </w:r>
      <w:r>
        <w:t xml:space="preserve"> </w:t>
      </w:r>
      <m:oMath>
        <m:r>
          <m:t>p</m:t>
        </m:r>
        <m:r>
          <m:rPr>
            <m:sty m:val="p"/>
          </m:rPr>
          <m:t>=</m:t>
        </m:r>
        <m:r>
          <m:rPr>
            <m:sty m:val="p"/>
          </m:rPr>
          <m:t>,</m:t>
        </m:r>
        <m:r>
          <m:t>545</m:t>
        </m:r>
      </m:oMath>
      <w:r>
        <w:t xml:space="preserve">), xác nhận điểm uốn ổn định qua thập kỷ chuyển đổi số. TCI và DAI đều nâng mặt bằng năng suất nhưng không điều tiết đường cong, có thể do phương sai năng lực bị nén lại trong mẫu doanh nghiệp xuất khẩu tương đối đồng nhất.</w:t>
      </w:r>
    </w:p>
    <w:bookmarkEnd w:id="35"/>
    <w:bookmarkStart w:id="36" w:name="X86ff96ba0055a141dbd4df0fa2d82b1439e4644"/>
    <w:p>
      <w:pPr>
        <w:pStyle w:val="Heading2"/>
      </w:pPr>
      <w:r>
        <w:t xml:space="preserve">Trường hợp biên: đảo nhỏ Thái Bình Dương (SIDS)</w:t>
      </w:r>
    </w:p>
    <w:p>
      <w:pPr>
        <w:pStyle w:val="FirstParagraph"/>
      </w:pPr>
      <w:r>
        <w:t xml:space="preserve">Phân tích phân tích SIDS Thái Bình Dương tập trung vào chín nền kinh tế đảo nhỏ Thái Bình Dương (Nhóm VI) với tổng N = 1.469 doanh nghiệp, trong đó chỉ 187 doanh nghiệp xuất khẩu (12,7%), FSTS trung bình 6,0%. Đây là phát hiện khác biệt nhất của luận án: mô hình M1 với hiệu ứng cố định quốc gia và năm cho</w:t>
      </w:r>
      <w:r>
        <w:t xml:space="preserve"> </w:t>
      </w:r>
      <m:oMath>
        <m:acc>
          <m:accPr>
            <m:chr m:val="̂"/>
          </m:accPr>
          <m:e>
            <m:r>
              <m:t>β</m:t>
            </m:r>
          </m:e>
        </m:acc>
        <m:d>
          <m:dPr>
            <m:begChr m:val="("/>
            <m:endChr m:val=")"/>
            <m:sepChr m:val=""/>
            <m:grow/>
          </m:dPr>
          <m:e>
            <m:sSub>
              <m:e>
                <m:r>
                  <m:rPr>
                    <m:nor/>
                    <m:sty m:val="p"/>
                  </m:rPr>
                  <m:t>FSTS</m:t>
                </m:r>
              </m:e>
              <m:sub>
                <m:r>
                  <m:t>c</m:t>
                </m:r>
              </m:sub>
            </m:sSub>
          </m:e>
        </m:d>
        <m:r>
          <m:rPr>
            <m:sty m:val="p"/>
          </m:rPr>
          <m:t>=</m:t>
        </m:r>
        <m:r>
          <m:rPr>
            <m:sty m:val="p"/>
          </m:rPr>
          <m:t>−</m:t>
        </m:r>
        <m:r>
          <m:t>0</m:t>
        </m:r>
        <m:r>
          <m:rPr>
            <m:sty m:val="p"/>
          </m:rPr>
          <m:t>,</m:t>
        </m:r>
        <m:r>
          <m:t>404</m:t>
        </m:r>
      </m:oMath>
      <w:r>
        <w:t xml:space="preserve"> </w:t>
      </w:r>
      <w:r>
        <w:t xml:space="preserve">(</w:t>
      </w:r>
      <m:oMath>
        <m:r>
          <m:t>S</m:t>
        </m:r>
        <m:r>
          <m:t>E</m:t>
        </m:r>
        <m:r>
          <m:rPr>
            <m:sty m:val="p"/>
          </m:rPr>
          <m:t>=</m:t>
        </m:r>
        <m:r>
          <m:t>0</m:t>
        </m:r>
        <m:r>
          <m:rPr>
            <m:sty m:val="p"/>
          </m:rPr>
          <m:t>,</m:t>
        </m:r>
        <m:r>
          <m:t>188</m:t>
        </m:r>
      </m:oMath>
      <w:r>
        <w:t xml:space="preserve">,</w:t>
      </w:r>
      <w:r>
        <w:t xml:space="preserve"> </w:t>
      </w:r>
      <m:oMath>
        <m:r>
          <m:t>t</m:t>
        </m:r>
        <m:r>
          <m:rPr>
            <m:sty m:val="p"/>
          </m:rPr>
          <m:t>=</m:t>
        </m:r>
        <m:r>
          <m:rPr>
            <m:sty m:val="p"/>
          </m:rPr>
          <m:t>−</m:t>
        </m:r>
        <m:r>
          <m:t>2</m:t>
        </m:r>
        <m:r>
          <m:rPr>
            <m:sty m:val="p"/>
          </m:rPr>
          <m:t>,</m:t>
        </m:r>
        <m:r>
          <m:t>152</m:t>
        </m:r>
      </m:oMath>
      <w:r>
        <w:t xml:space="preserve">,</w:t>
      </w:r>
      <w:r>
        <w:t xml:space="preserve"> </w:t>
      </w:r>
      <m:oMath>
        <m:r>
          <m:t>p</m:t>
        </m:r>
        <m:r>
          <m:rPr>
            <m:sty m:val="p"/>
          </m:rPr>
          <m:t>=</m:t>
        </m:r>
        <m:r>
          <m:rPr>
            <m:sty m:val="p"/>
          </m:rPr>
          <m:t>,</m:t>
        </m:r>
        <m:r>
          <m:t>032</m:t>
        </m:r>
      </m:oMath>
      <w:r>
        <w:t xml:space="preserve">), một quan hệ âm đơn điệu, nghĩa là quốc tế hóa càng cao thì hiệu quả càng thấp. Hệ số âm vững qua bốn đặc tả, từ</w:t>
      </w:r>
      <w:r>
        <w:t xml:space="preserve"> </w:t>
      </w:r>
      <m:oMath>
        <m:r>
          <m:rPr>
            <m:sty m:val="p"/>
          </m:rPr>
          <m:t>−</m:t>
        </m:r>
        <m:r>
          <m:t>0</m:t>
        </m:r>
        <m:r>
          <m:rPr>
            <m:sty m:val="p"/>
          </m:rPr>
          <m:t>,</m:t>
        </m:r>
        <m:r>
          <m:t>404</m:t>
        </m:r>
      </m:oMath>
      <w:r>
        <w:t xml:space="preserve"> </w:t>
      </w:r>
      <w:r>
        <w:t xml:space="preserve">(hiệu ứng cố định quốc gia và năm) đến</w:t>
      </w:r>
      <w:r>
        <w:t xml:space="preserve"> </w:t>
      </w:r>
      <m:oMath>
        <m:r>
          <m:rPr>
            <m:sty m:val="p"/>
          </m:rPr>
          <m:t>−</m:t>
        </m:r>
        <m:r>
          <m:t>1</m:t>
        </m:r>
        <m:r>
          <m:rPr>
            <m:sty m:val="p"/>
          </m:rPr>
          <m:t>,</m:t>
        </m:r>
        <m:r>
          <m:t>596</m:t>
        </m:r>
      </m:oMath>
      <w:r>
        <w:t xml:space="preserve"> </w:t>
      </w:r>
      <w:r>
        <w:t xml:space="preserve">(hồi quy hai biến), kể cả trong mẫu chỉ gồm 187 doanh nghiệp xuất khẩu (</w:t>
      </w:r>
      <m:oMath>
        <m:acc>
          <m:accPr>
            <m:chr m:val="̂"/>
          </m:accPr>
          <m:e>
            <m:r>
              <m:t>β</m:t>
            </m:r>
          </m:e>
        </m:acc>
        <m:d>
          <m:dPr>
            <m:begChr m:val="("/>
            <m:endChr m:val=")"/>
            <m:sepChr m:val=""/>
            <m:grow/>
          </m:dPr>
          <m:e>
            <m:sSub>
              <m:e>
                <m:r>
                  <m:rPr>
                    <m:nor/>
                    <m:sty m:val="p"/>
                  </m:rPr>
                  <m:t>FSTS</m:t>
                </m:r>
              </m:e>
              <m:sub>
                <m:r>
                  <m:t>c</m:t>
                </m:r>
              </m:sub>
            </m:sSub>
          </m:e>
        </m:d>
        <m:r>
          <m:rPr>
            <m:sty m:val="p"/>
          </m:rPr>
          <m:t>=</m:t>
        </m:r>
        <m:r>
          <m:rPr>
            <m:sty m:val="p"/>
          </m:rPr>
          <m:t>−</m:t>
        </m:r>
        <m:r>
          <m:t>0</m:t>
        </m:r>
        <m:r>
          <m:rPr>
            <m:sty m:val="p"/>
          </m:rPr>
          <m:t>,</m:t>
        </m:r>
        <m:r>
          <m:t>901</m:t>
        </m:r>
      </m:oMath>
      <w:r>
        <w:t xml:space="preserve">,</w:t>
      </w:r>
      <w:r>
        <w:t xml:space="preserve"> </w:t>
      </w:r>
      <m:oMath>
        <m:r>
          <m:t>p</m:t>
        </m:r>
        <m:r>
          <m:rPr>
            <m:sty m:val="p"/>
          </m:rPr>
          <m:t>=</m:t>
        </m:r>
        <m:r>
          <m:rPr>
            <m:sty m:val="p"/>
          </m:rPr>
          <m:t>,</m:t>
        </m:r>
        <m:r>
          <m:t>027</m:t>
        </m:r>
      </m:oMath>
      <w:r>
        <w:t xml:space="preserve">), loại trừ lời giải thích dựa trên chọn mẫu. Mô hình bổ sung FSTS² không cho kết quả có ý nghĩa, với kiểm định Lind-Mehlum p = ,941 không bác bỏ tính âm đơn điệu, xác nhận không có điểm uốn trong phạm vi dữ liệu. Cả TCI (</w:t>
      </w:r>
      <m:oMath>
        <m:r>
          <m:t>p</m:t>
        </m:r>
        <m:r>
          <m:rPr>
            <m:sty m:val="p"/>
          </m:rPr>
          <m:t>=</m:t>
        </m:r>
        <m:r>
          <m:rPr>
            <m:sty m:val="p"/>
          </m:rPr>
          <m:t>,</m:t>
        </m:r>
        <m:r>
          <m:t>495</m:t>
        </m:r>
      </m:oMath>
      <w:r>
        <w:t xml:space="preserve">) lẫn DAI (</w:t>
      </w:r>
      <m:oMath>
        <m:r>
          <m:t>p</m:t>
        </m:r>
        <m:r>
          <m:rPr>
            <m:sty m:val="p"/>
          </m:rPr>
          <m:t>=</m:t>
        </m:r>
        <m:r>
          <m:rPr>
            <m:sty m:val="p"/>
          </m:rPr>
          <m:t>,</m:t>
        </m:r>
        <m:r>
          <m:t>402</m:t>
        </m:r>
      </m:oMath>
      <w:r>
        <w:t xml:space="preserve">) đều không điều tiết được quan hệ này. Luận án đặt tên cho hiện tượng này là gánh nặng quốc tế hóa bắt buộc (forced internationalization penalty), với cơ chế gồm ba yếu tố cấu trúc: thị trường nội địa quá nhỏ buộc doanh nghiệp xuất khẩu để sinh tồn; chi phí hậu cần cực cao; và thiếu hụt hỗ trợ thể chế. Về lý thuyết, hiện tượng này tái định khung đường cong chữ U ngược từ một quy luật phổ quát thành một quan hệ có điều kiện.</w:t>
      </w:r>
    </w:p>
    <w:bookmarkEnd w:id="36"/>
    <w:bookmarkStart w:id="37" w:name="thảo-luận-tổng-hợp"/>
    <w:p>
      <w:pPr>
        <w:pStyle w:val="Heading2"/>
      </w:pPr>
      <w:r>
        <w:t xml:space="preserve">Thảo luận tổng hợp</w:t>
      </w:r>
    </w:p>
    <w:p>
      <w:pPr>
        <w:pStyle w:val="FirstParagraph"/>
      </w:pPr>
      <w:r>
        <w:t xml:space="preserve">Tổng hợp bằng chứng từ phân tích tổng hợp, toàn mẫu sơ cấp và ba nghiên cứu đơn quốc gia dẫn đến luận điểm trung tâm: hình dạng của quan hệ I-P mang tính phổ quát, nhưng độ cong và vị trí điểm tối ưu của nó phụ thuộc vào bối cảnh thể chế. Trên ba nghiên cứu đơn quốc gia, điểm uốn đi từ khoảng 82% FSTS tại Singapore xuống khoảng 48,78% tại Trung Quốc rồi xuống 39,7% tại Việt Nam. Trong toàn mẫu đa quốc gia, chế độ thể chế chi phối độ cong (concavity / biên độ) của hình chữ U ngược: độ cong sâu dần khi chất lượng thể chế suy giảm và phẳng dần về gần tuyến tính ở chế độ tiên tiến, trong khi điểm uốn theo nhóm không đồng nhất (khoảng 16–50%) và không dịch chuyển đơn điệu. Tính không đồng nhất của độ cong và vị trí điểm tối ưu hòa giải mâu thuẫn bề ngoài giữa các nghiên cứu báo cáo quan hệ tuyến tính dương, chữ U ngược và không có ý nghĩa: đó là những quan sát về cùng một họ đường cong được lấy mẫu ở các địa điểm thể chế khác nhau. Phát hiện này vượt qua công trình của Lu và Beamish (2004), vốn tìm thấy một điểm uốn cố định khoảng 60% trên doanh nghiệp Nhật Bản, và mở rộng phát hiện điều tiết thể chế của Marano và cộng sự (2016) từ phân loại nhị phân sang sáu chế độ con ICRV.</w:t>
      </w:r>
    </w:p>
    <w:p>
      <w:pPr>
        <w:pStyle w:val="BodyText"/>
      </w:pPr>
      <w:r>
        <w:t xml:space="preserve">Sự phân biệt giữa TCI và DAI là một phát hiện liên thông quan trọng. TCI hoạt động như một năng lực nền tảng phổ quát, với hiệu ứng nâng mặt bằng năng suất dương ở mọi mẫu (khoảng 41% trên mỗi đơn vị độ lệch chuẩn), trong khi vai trò uốn đường cong lại đặc thù theo bối cảnh. DAI cho một khuôn mẫu khác biệt và mang tính tình huống: trên toàn mẫu đa quốc gia, DAI có hiệu ứng nâng mặt bằng phổ quát và cả hai tương tác điều tiết đường cong đều có ý nghĩa, với tương tác DAI×ICRV (</w:t>
      </w:r>
      <m:oMath>
        <m:r>
          <m:t>p</m:t>
        </m:r>
        <m:r>
          <m:rPr>
            <m:sty m:val="p"/>
          </m:rPr>
          <m:t>=</m:t>
        </m:r>
        <m:r>
          <m:rPr>
            <m:sty m:val="p"/>
          </m:rPr>
          <m:t>,</m:t>
        </m:r>
        <m:r>
          <m:t>049</m:t>
        </m:r>
      </m:oMath>
      <w:r>
        <w:t xml:space="preserve">) cho thấy năng lực số bù đắp cho thiếu hụt thể chế chứ không khuếch đại lợi thế thể chế sẵn có. Đây là cơ chế thay thế số cho thể chế, và theo hiểu biết hiện tại, là bằng chứng đa quốc gia ở cấp doanh nghiệp đầu tiên cho thấy số hóa và chất lượng thể chế hoạt động như những yếu tố thay thế chứ không phải bổ sung trong quá trình chuyển hóa quốc tế hóa thành hiệu quả.</w:t>
      </w:r>
    </w:p>
    <w:p>
      <w:r>
        <w:pict>
          <v:rect style="width:0;height:1.5pt" o:hralign="center" o:hrstd="t" o:hr="t"/>
        </w:pict>
      </w:r>
    </w:p>
    <w:bookmarkEnd w:id="37"/>
    <w:bookmarkEnd w:id="38"/>
    <w:bookmarkStart w:id="68" w:name="kết-luận-và-kiến-nghị"/>
    <w:p>
      <w:pPr>
        <w:pStyle w:val="Heading1"/>
      </w:pPr>
      <w:r>
        <w:t xml:space="preserve">KẾT LUẬN VÀ KIẾN NGHỊ</w:t>
      </w:r>
    </w:p>
    <w:bookmarkStart w:id="44" w:name="Xeb3250ac8e3491cd2431bc2ba518186336d526f"/>
    <w:p>
      <w:pPr>
        <w:pStyle w:val="Heading2"/>
      </w:pPr>
      <w:r>
        <w:t xml:space="preserve">Bàn luận kết quả theo khung lý thuyết phân tầng CIMT–ICRV–CDCM</w:t>
      </w:r>
    </w:p>
    <w:bookmarkStart w:id="39" w:name="X7839966215dea78300daf34b71435f48f44cd16"/>
    <w:p>
      <w:pPr>
        <w:pStyle w:val="Heading3"/>
      </w:pPr>
      <w:r>
        <w:t xml:space="preserve">Dải biến thiên ICRV, xác nhận H5 và cơ chế institutional-void amplification của CIMT</w:t>
      </w:r>
    </w:p>
    <w:p>
      <w:pPr>
        <w:pStyle w:val="FirstParagraph"/>
      </w:pPr>
      <w:r>
        <w:t xml:space="preserve">Phát hiện nhất quán nhất và có ý nghĩa lý thuyết rộng nhất của luận án là</w:t>
      </w:r>
      <w:r>
        <w:t xml:space="preserve"> </w:t>
      </w:r>
      <w:r>
        <w:rPr>
          <w:bCs/>
          <w:b/>
        </w:rPr>
        <w:t xml:space="preserve">dải biến thiên ICRV (Institutional Context Regime Variation, biến thiên chế độ bối cảnh thể chế)</w:t>
      </w:r>
      <w:r>
        <w:t xml:space="preserve">: cùng một mức độ quốc tế hóa (FSTS) lại mang lại hiệu quả rất khác nhau, tùy vào chế độ thể chế mà doanh nghiệp hoạt động. Hai nguồn bằng chứng độc lập cùng chỉ về một kết luận, đó là phân tích tổng hợp (phân tích tổng hợp,</w:t>
      </w:r>
      <w:r>
        <w:t xml:space="preserve"> </w:t>
      </w:r>
      <m:oMath>
        <m:sSub>
          <m:e>
            <m:r>
              <m:t>Q</m:t>
            </m:r>
          </m:e>
          <m:sub>
            <m:r>
              <m:t>M</m:t>
            </m:r>
          </m:sub>
        </m:sSub>
        <m:r>
          <m:rPr>
            <m:sty m:val="p"/>
          </m:rPr>
          <m:t>=</m:t>
        </m:r>
        <m:r>
          <m:t>17</m:t>
        </m:r>
        <m:r>
          <m:rPr>
            <m:sty m:val="p"/>
          </m:rPr>
          <m:t>,</m:t>
        </m:r>
        <m:r>
          <m:t>35</m:t>
        </m:r>
      </m:oMath>
      <w:r>
        <w:t xml:space="preserve">,</w:t>
      </w:r>
      <w:r>
        <w:t xml:space="preserve"> </w:t>
      </w:r>
      <m:oMath>
        <m:r>
          <m:t>d</m:t>
        </m:r>
        <m:r>
          <m:t>f</m:t>
        </m:r>
        <m:r>
          <m:rPr>
            <m:sty m:val="p"/>
          </m:rPr>
          <m:t>=</m:t>
        </m:r>
        <m:r>
          <m:t>4</m:t>
        </m:r>
      </m:oMath>
      <w:r>
        <w:t xml:space="preserve">,</w:t>
      </w:r>
      <w:r>
        <w:t xml:space="preserve"> </w:t>
      </w:r>
      <m:oMath>
        <m:r>
          <m:t>p</m:t>
        </m:r>
        <m:r>
          <m:rPr>
            <m:sty m:val="p"/>
          </m:rPr>
          <m:t>=</m:t>
        </m:r>
        <m:r>
          <m:rPr>
            <m:sty m:val="p"/>
          </m:rPr>
          <m:t>,</m:t>
        </m:r>
        <m:r>
          <m:t>002</m:t>
        </m:r>
      </m:oMath>
      <w:r>
        <w:t xml:space="preserve">) và phân tích dữ liệu sơ cấp toàn mẫu (phân tích đa quốc gia,</w:t>
      </w:r>
      <w:r>
        <w:t xml:space="preserve"> </w:t>
      </w:r>
      <m:oMath>
        <m:r>
          <m:t>N</m:t>
        </m:r>
        <m:r>
          <m:rPr>
            <m:sty m:val="p"/>
          </m:rPr>
          <m:t>=</m:t>
        </m:r>
        <m:r>
          <m:t>82.302</m:t>
        </m:r>
      </m:oMath>
      <w:r>
        <w:t xml:space="preserve"> </w:t>
      </w:r>
      <w:r>
        <w:t xml:space="preserve">quan sát từ 45 nền kinh tế): độ cong (concavity) của quan hệ I-P</w:t>
      </w:r>
      <w:r>
        <w:t xml:space="preserve"> </w:t>
      </w:r>
      <w:r>
        <w:rPr>
          <w:bCs/>
          <w:b/>
        </w:rPr>
        <w:t xml:space="preserve">sâu dần</w:t>
      </w:r>
      <w:r>
        <w:t xml:space="preserve"> </w:t>
      </w:r>
      <w:r>
        <w:t xml:space="preserve">khi chất lượng thể chế suy giảm — phẳng, gần như tuyến tính ở nhóm tiên tiến và rõ nét nhất (hình chữ U ngược) ở nhóm đảo nhỏ và cận biên — với điểm uốn dao động quanh ~40% thay vì dịch chuyển đơn điệu. Nói cách khác, ở các nền kinh tế thể chế mạnh, quan hệ I–P gần như tuyến tính trong khoảng quan sát và doanh nghiệp ít chịu hình phạt suy giảm khi quốc tế hóa sâu; còn ở các nền kinh tế thể chế yếu, hình chữ U ngược biểu hiện rõ nét, phản ánh chi phí phối hợp và lợi suất giảm dần gay gắt hơn khi đẩy mạnh xuất khẩu.</w:t>
      </w:r>
    </w:p>
    <w:p>
      <w:pPr>
        <w:pStyle w:val="BodyText"/>
      </w:pPr>
      <w:r>
        <w:t xml:space="preserve">Kết quả này xác nhận H5 và</w:t>
      </w:r>
      <w:r>
        <w:t xml:space="preserve"> </w:t>
      </w:r>
      <w:r>
        <w:rPr>
          <w:bCs/>
          <w:b/>
        </w:rPr>
        <w:t xml:space="preserve">cơ chế institutional-void amplification của CIMT</w:t>
      </w:r>
      <w:r>
        <w:t xml:space="preserve"> </w:t>
      </w:r>
      <w:r>
        <w:t xml:space="preserve">(một trong ba kênh trung tâm, §2.5.1) một cách thuyết phục: điều kiện biên cho quan hệ I-P không do một yếu tố điều tiết đơn lẻ quy định, mà do</w:t>
      </w:r>
      <w:r>
        <w:t xml:space="preserve"> </w:t>
      </w:r>
      <w:r>
        <w:rPr>
          <w:bCs/>
          <w:b/>
        </w:rPr>
        <w:t xml:space="preserve">cả một chế độ thể chế</w:t>
      </w:r>
      <w:r>
        <w:t xml:space="preserve"> </w:t>
      </w:r>
      <w:r>
        <w:t xml:space="preserve">— được taxonomy ICRV (§2.5.2) phân loại thành sáu nhóm con. Lý thuyết thể chế của North (1990) cùng Khanna và Palepu (2010) dự đoán rằng thể chế định hình chi phí giao dịch và cấu trúc khuyến khích; dải biến thiên ICRV chính là biểu hiện thực nghiệm của cơ chế đó, ở quy mô 45 nền kinh tế châu Á và Thái Bình Dương (phân tích đa quốc gia 45 nền kinh tế).</w:t>
      </w:r>
    </w:p>
    <w:p>
      <w:pPr>
        <w:pStyle w:val="BodyText"/>
      </w:pPr>
      <w:r>
        <w:t xml:space="preserve">Về mặt lý thuyết, có thể hiểu dải biến thiên ICRV qua hai cơ chế bổ sung cho nhau. Cơ chế đầu tiên là giảm chi phí giao dịch: thể chế chất lượng cao, với hệ thống pháp lý vững, bảo vệ quyền sở hữu trí tuệ và thực thi hợp đồng nghiêm, làm giảm chi phí xuyên biên giới, nhờ đó doanh nghiệp duy trì được đà tăng trưởng hiệu quả đến mức FSTS cao hơn. Cơ chế còn lại là khuếch đại năng lực: môi trường thể chế tốt cũng đi kèm một hệ sinh thái dịch vụ hỗ trợ phát triển, gồm hậu cần, tài chính thương mại, tư vấn pháp lý quốc tế, làm nhẹ bớt gánh nặng điều phối nội bộ khi doanh nghiệp mở rộng ra quốc tế.</w:t>
      </w:r>
    </w:p>
    <w:bookmarkEnd w:id="39"/>
    <w:bookmarkStart w:id="40" w:name="tci-là-năng-lực-nền-tảng-xác-nhận-h2"/>
    <w:p>
      <w:pPr>
        <w:pStyle w:val="Heading3"/>
      </w:pPr>
      <w:r>
        <w:t xml:space="preserve">TCI là năng lực nền tảng, xác nhận H2</w:t>
      </w:r>
    </w:p>
    <w:p>
      <w:pPr>
        <w:pStyle w:val="FirstParagraph"/>
      </w:pPr>
      <w:r>
        <w:t xml:space="preserve">Chỉ số năng lực công nghệ (TCI) nhất quán cho thấy</w:t>
      </w:r>
      <w:r>
        <w:t xml:space="preserve"> </w:t>
      </w:r>
      <w:r>
        <w:rPr>
          <w:bCs/>
          <w:b/>
        </w:rPr>
        <w:t xml:space="preserve">hiệu ứng nâng mặt bằng năng suất dương</w:t>
      </w:r>
      <w:r>
        <w:t xml:space="preserve"> </w:t>
      </w:r>
      <w:r>
        <w:t xml:space="preserve">ở mọi mẫu, từ Việt Nam (Việt Nam) và Trung Quốc (Trung Quốc) đến toàn mẫu (phân tích đa quốc gia 45 nền kinh tế), với mỗi đơn vị độ lệch chuẩn TCI gắn với mức tăng năng suất khoảng 41%. Tuy nhiên, TCI chỉ</w:t>
      </w:r>
      <w:r>
        <w:t xml:space="preserve"> </w:t>
      </w:r>
      <w:r>
        <w:rPr>
          <w:bCs/>
          <w:b/>
        </w:rPr>
        <w:t xml:space="preserve">uốn được hình dạng đường cong I-P</w:t>
      </w:r>
      <w:r>
        <w:t xml:space="preserve"> </w:t>
      </w:r>
      <w:r>
        <w:t xml:space="preserve">trong một bối cảnh quốc gia cụ thể là Việt Nam (Việt Nam), nơi môi trường chuyển đổi và sự phân mảnh thể chế tạo điều kiện cho TCI tái định hình hiệu ứng. Vai trò này không phổ quát trên toàn mẫu 45 nền kinh tế: ở phân tích đa quốc gia, cả tương tác FSTS×TCI lẫn</w:t>
      </w:r>
      <w:r>
        <w:t xml:space="preserve"> </w:t>
      </w:r>
      <m:oMath>
        <m:sSup>
          <m:e>
            <m:r>
              <m:rPr>
                <m:nor/>
                <m:sty m:val="p"/>
              </m:rPr>
              <m:t>FSTS</m:t>
            </m:r>
          </m:e>
          <m:sup>
            <m:r>
              <m:t>2</m:t>
            </m:r>
          </m:sup>
        </m:sSup>
      </m:oMath>
      <w:r>
        <w:t xml:space="preserve">×TCI đều không có ý nghĩa thống kê. Do đó H2 chỉ được</w:t>
      </w:r>
      <w:r>
        <w:t xml:space="preserve"> </w:t>
      </w:r>
      <w:r>
        <w:rPr>
          <w:bCs/>
          <w:b/>
        </w:rPr>
        <w:t xml:space="preserve">xác nhận một phần</w:t>
      </w:r>
      <w:r>
        <w:t xml:space="preserve">: TCI là năng lực nền tảng phổ quát, nhưng vai trò uốn đường cong I-P lại phụ thuộc bối cảnh thể chế. Kết quả này khẳng định TCI là</w:t>
      </w:r>
      <w:r>
        <w:t xml:space="preserve"> </w:t>
      </w:r>
      <w:r>
        <w:rPr>
          <w:bCs/>
          <w:b/>
        </w:rPr>
        <w:t xml:space="preserve">năng lực nền tảng</w:t>
      </w:r>
      <w:r>
        <w:t xml:space="preserve"> </w:t>
      </w:r>
      <w:r>
        <w:t xml:space="preserve">trong khung CDCM: doanh nghiệp có năng lực công nghệ sâu hơn, đo bằng khả năng tiếp cận công nghệ nước ngoài, chi tiêu nghiên cứu và phát triển, đổi mới sản phẩm và chứng nhận chất lượng, sẽ tạo ra giá trị cao hơn từ cùng một mức độ quốc tế hóa.</w:t>
      </w:r>
    </w:p>
    <w:p>
      <w:pPr>
        <w:pStyle w:val="BodyText"/>
      </w:pPr>
      <w:r>
        <w:t xml:space="preserve">Cơ chế lý thuyết đằng sau kết quả này bắt nguồn từ lý thuyết dựa trên nguồn lực (Barney, 1991): TCI là nguồn lực VRIN, có giá trị, hiếm, khó sao chép và khó thay thế, nên tạo ra lợi thế cạnh tranh bền vững ngay cả khi doanh nghiệp mở rộng ra thị trường nước ngoài đầy bất định. Năng lực công nghệ cũng làm nên năng lực hấp thụ (Cohen &amp; Levinthal, 1990), tức khả năng tiếp nhận và tích hợp tri thức từ thị trường nước ngoài, giúp doanh nghiệp học hỏi hiệu quả hơn khi quốc tế hóa, đúng với vòng lặp học hỏi của mô hình Uppsala (Johanson &amp; Vahlne, 1977).</w:t>
      </w:r>
    </w:p>
    <w:bookmarkEnd w:id="40"/>
    <w:bookmarkStart w:id="41" w:name="X27755afda27725d75d6cee82c01fb99e8279a05"/>
    <w:p>
      <w:pPr>
        <w:pStyle w:val="Heading3"/>
      </w:pPr>
      <w:r>
        <w:t xml:space="preserve">DAI là nguồn lực tình huống, hỗ trợ một phần H3</w:t>
      </w:r>
    </w:p>
    <w:p>
      <w:pPr>
        <w:pStyle w:val="FirstParagraph"/>
      </w:pPr>
      <w:r>
        <w:t xml:space="preserve">Kết quả về chỉ số chấp nhận số (DAI) phức tạp và nhiều sắc thái hơn TCI. Trên toàn mẫu đa quốc gia gồm 45 nền kinh tế, DAI có hiệu ứng nâng mặt bằng năng suất dương và có ý nghĩa (</w:t>
      </w:r>
      <m:oMath>
        <m:acc>
          <m:accPr>
            <m:chr m:val="̂"/>
          </m:accPr>
          <m:e>
            <m:r>
              <m:t>β</m:t>
            </m:r>
          </m:e>
        </m:acc>
        <m:r>
          <m:rPr>
            <m:sty m:val="p"/>
          </m:rPr>
          <m:t>=</m:t>
        </m:r>
        <m:r>
          <m:rPr>
            <m:sty m:val="p"/>
          </m:rPr>
          <m:t>+</m:t>
        </m:r>
        <m:r>
          <m:t>0</m:t>
        </m:r>
        <m:r>
          <m:rPr>
            <m:sty m:val="p"/>
          </m:rPr>
          <m:t>,</m:t>
        </m:r>
        <m:r>
          <m:t>172</m:t>
        </m:r>
      </m:oMath>
      <w:r>
        <w:t xml:space="preserve">,</w:t>
      </w:r>
      <w:r>
        <w:t xml:space="preserve"> </w:t>
      </w:r>
      <m:oMath>
        <m:r>
          <m:t>p</m:t>
        </m:r>
        <m:r>
          <m:rPr>
            <m:sty m:val="p"/>
          </m:rPr>
          <m:t>&lt;</m:t>
        </m:r>
        <m:r>
          <m:rPr>
            <m:sty m:val="p"/>
          </m:rPr>
          <m:t>,</m:t>
        </m:r>
        <m:r>
          <m:t>001</m:t>
        </m:r>
      </m:oMath>
      <w:r>
        <w:t xml:space="preserve">), tương ứng khoảng 19% lợi thế năng suất cho doanh nghiệp có trang web. Đáng chú ý hơn, cả hai tương tác uốn đường cong đều có ý nghĩa (</w:t>
      </w:r>
      <m:oMath>
        <m:acc>
          <m:accPr>
            <m:chr m:val="̂"/>
          </m:accPr>
          <m:e>
            <m:r>
              <m:t>β</m:t>
            </m:r>
          </m:e>
        </m:acc>
        <m:d>
          <m:dPr>
            <m:begChr m:val="("/>
            <m:endChr m:val=")"/>
            <m:sepChr m:val=""/>
            <m:grow/>
          </m:dPr>
          <m:e>
            <m:r>
              <m:rPr>
                <m:nor/>
                <m:sty m:val="p"/>
              </m:rPr>
              <m:t>FSTS</m:t>
            </m:r>
            <m:r>
              <m:rPr>
                <m:sty m:val="p"/>
              </m:rPr>
              <m:t>×</m:t>
            </m:r>
            <m:r>
              <m:rPr>
                <m:nor/>
                <m:sty m:val="p"/>
              </m:rPr>
              <m:t>DAI</m:t>
            </m:r>
          </m:e>
        </m:d>
        <m:r>
          <m:rPr>
            <m:sty m:val="p"/>
          </m:rPr>
          <m:t>=</m:t>
        </m:r>
        <m:r>
          <m:rPr>
            <m:sty m:val="p"/>
          </m:rPr>
          <m:t>−</m:t>
        </m:r>
        <m:r>
          <m:t>0</m:t>
        </m:r>
        <m:r>
          <m:rPr>
            <m:sty m:val="p"/>
          </m:rPr>
          <m:t>,</m:t>
        </m:r>
        <m:r>
          <m:t>588</m:t>
        </m:r>
      </m:oMath>
      <w:r>
        <w:t xml:space="preserve">,</w:t>
      </w:r>
      <w:r>
        <w:t xml:space="preserve"> </w:t>
      </w:r>
      <m:oMath>
        <m:r>
          <m:t>p</m:t>
        </m:r>
        <m:r>
          <m:rPr>
            <m:sty m:val="p"/>
          </m:rPr>
          <m:t>&lt;</m:t>
        </m:r>
        <m:r>
          <m:rPr>
            <m:sty m:val="p"/>
          </m:rPr>
          <m:t>,</m:t>
        </m:r>
        <m:r>
          <m:t>001</m:t>
        </m:r>
      </m:oMath>
      <w:r>
        <w:t xml:space="preserve">;</w:t>
      </w:r>
      <w:r>
        <w:t xml:space="preserve"> </w:t>
      </w:r>
      <m:oMath>
        <m:acc>
          <m:accPr>
            <m:chr m:val="̂"/>
          </m:accPr>
          <m:e>
            <m:r>
              <m:t>β</m:t>
            </m:r>
          </m:e>
        </m:acc>
        <m:d>
          <m:dPr>
            <m:begChr m:val="("/>
            <m:endChr m:val=")"/>
            <m:sepChr m:val=""/>
            <m:grow/>
          </m:dPr>
          <m:e>
            <m:sSup>
              <m:e>
                <m:r>
                  <m:rPr>
                    <m:nor/>
                    <m:sty m:val="p"/>
                  </m:rPr>
                  <m:t>FSTS</m:t>
                </m:r>
              </m:e>
              <m:sup>
                <m:r>
                  <m:t>2</m:t>
                </m:r>
              </m:sup>
            </m:sSup>
            <m:r>
              <m:rPr>
                <m:sty m:val="p"/>
              </m:rPr>
              <m:t>×</m:t>
            </m:r>
            <m:r>
              <m:rPr>
                <m:nor/>
                <m:sty m:val="p"/>
              </m:rPr>
              <m:t>DAI</m:t>
            </m:r>
          </m:e>
        </m:d>
        <m:r>
          <m:rPr>
            <m:sty m:val="p"/>
          </m:rPr>
          <m:t>=</m:t>
        </m:r>
        <m:r>
          <m:rPr>
            <m:sty m:val="p"/>
          </m:rPr>
          <m:t>+</m:t>
        </m:r>
        <m:r>
          <m:t>0</m:t>
        </m:r>
        <m:r>
          <m:rPr>
            <m:sty m:val="p"/>
          </m:rPr>
          <m:t>,</m:t>
        </m:r>
        <m:r>
          <m:t>726</m:t>
        </m:r>
      </m:oMath>
      <w:r>
        <w:t xml:space="preserve">,</w:t>
      </w:r>
      <w:r>
        <w:t xml:space="preserve"> </w:t>
      </w:r>
      <m:oMath>
        <m:r>
          <m:t>p</m:t>
        </m:r>
        <m:r>
          <m:rPr>
            <m:sty m:val="p"/>
          </m:rPr>
          <m:t>&lt;</m:t>
        </m:r>
        <m:r>
          <m:rPr>
            <m:sty m:val="p"/>
          </m:rPr>
          <m:t>,</m:t>
        </m:r>
        <m:r>
          <m:t>01</m:t>
        </m:r>
      </m:oMath>
      <w:r>
        <w:t xml:space="preserve">), cho thấy doanh nghiệp DAI cao có đường cong I-P phẳng hơn và ít suy giảm hơn ở mức FSTS cao. Tương tác DAI×ICRV (</w:t>
      </w:r>
      <m:oMath>
        <m:r>
          <m:t>p</m:t>
        </m:r>
        <m:r>
          <m:rPr>
            <m:sty m:val="p"/>
          </m:rPr>
          <m:t>=</m:t>
        </m:r>
        <m:r>
          <m:rPr>
            <m:sty m:val="p"/>
          </m:rPr>
          <m:t>,</m:t>
        </m:r>
        <m:r>
          <m:t>049</m:t>
        </m:r>
      </m:oMath>
      <w:r>
        <w:t xml:space="preserve">) khẳng định DAI phát huy mạnh hơn ở các bối cảnh thể chế yếu, nhất quán với lập luận CDCM rằng DAI bù đắp cho sự vắng mặt của hạ tầng thể chế ở Nhóm IV-V, chứ không chỉ khuếch đại lợi thế vốn đã có ở Nhóm I. Tại Singapore (phân tích Singapore, DAI Tier-1+2), DAI bộc lộ rõ nhất dưới dạng hiệu ứng khuếch đại (</w:t>
      </w:r>
      <m:oMath>
        <m:acc>
          <m:accPr>
            <m:chr m:val="̂"/>
          </m:accPr>
          <m:e>
            <m:r>
              <m:t>β</m:t>
            </m:r>
          </m:e>
        </m:acc>
        <m:d>
          <m:dPr>
            <m:begChr m:val="("/>
            <m:endChr m:val=")"/>
            <m:sepChr m:val=""/>
            <m:grow/>
          </m:dPr>
          <m:e>
            <m:sSup>
              <m:e>
                <m:r>
                  <m:rPr>
                    <m:nor/>
                    <m:sty m:val="p"/>
                  </m:rPr>
                  <m:t>FSTS</m:t>
                </m:r>
              </m:e>
              <m:sup>
                <m:r>
                  <m:t>2</m:t>
                </m:r>
              </m:sup>
            </m:sSup>
            <m:r>
              <m:rPr>
                <m:sty m:val="p"/>
              </m:rPr>
              <m:t>×</m:t>
            </m:r>
            <m:r>
              <m:rPr>
                <m:nor/>
                <m:sty m:val="p"/>
              </m:rPr>
              <m:t>DAI</m:t>
            </m:r>
          </m:e>
        </m:d>
        <m:r>
          <m:rPr>
            <m:sty m:val="p"/>
          </m:rPr>
          <m:t>=</m:t>
        </m:r>
        <m:r>
          <m:rPr>
            <m:sty m:val="p"/>
          </m:rPr>
          <m:t>+</m:t>
        </m:r>
        <m:r>
          <m:t>3</m:t>
        </m:r>
        <m:r>
          <m:rPr>
            <m:sty m:val="p"/>
          </m:rPr>
          <m:t>,</m:t>
        </m:r>
        <m:r>
          <m:t>119</m:t>
        </m:r>
      </m:oMath>
      <w:r>
        <w:t xml:space="preserve">,</w:t>
      </w:r>
      <w:r>
        <w:t xml:space="preserve"> </w:t>
      </w:r>
      <m:oMath>
        <m:r>
          <m:t>p</m:t>
        </m:r>
        <m:r>
          <m:rPr>
            <m:sty m:val="p"/>
          </m:rPr>
          <m:t>=</m:t>
        </m:r>
        <m:r>
          <m:rPr>
            <m:sty m:val="p"/>
          </m:rPr>
          <m:t>,</m:t>
        </m:r>
        <m:r>
          <m:t>005</m:t>
        </m:r>
      </m:oMath>
      <w:r>
        <w:t xml:space="preserve">). Còn tại Việt Nam (phân tích Việt Nam, chỉ Tier-1, ước lượng bằng biến công cụ), kết quả DAI không có ý nghĩa phản ánh hạn chế đo lường và sai lệch chọn mẫu, chứ không phải sự bác bỏ H3.</w:t>
      </w:r>
    </w:p>
    <w:p>
      <w:pPr>
        <w:pStyle w:val="BodyText"/>
      </w:pPr>
      <w:r>
        <w:t xml:space="preserve">Tổng hợp lại, kết quả ủng hộ lập luận trong khung CDCM rằng DAI là</w:t>
      </w:r>
      <w:r>
        <w:t xml:space="preserve"> </w:t>
      </w:r>
      <w:r>
        <w:rPr>
          <w:bCs/>
          <w:b/>
        </w:rPr>
        <w:t xml:space="preserve">nguồn lực tình huống</w:t>
      </w:r>
      <w:r>
        <w:t xml:space="preserve"> </w:t>
      </w:r>
      <w:r>
        <w:t xml:space="preserve">chứ không phải năng lực nền tảng. Cơ chế cụ thể của DAI, nén hay khuếch đại đường cong, tùy thuộc điều kiện môi trường về thể chế và hạ tầng số; nhưng bản thân hiệu ứng DAI lại</w:t>
      </w:r>
      <w:r>
        <w:t xml:space="preserve"> </w:t>
      </w:r>
      <w:r>
        <w:rPr>
          <w:bCs/>
          <w:b/>
        </w:rPr>
        <w:t xml:space="preserve">phổ quát</w:t>
      </w:r>
      <w:r>
        <w:t xml:space="preserve"> </w:t>
      </w:r>
      <w:r>
        <w:t xml:space="preserve">trên toàn mẫu đa bối cảnh. Đây chính là điểm phân biệt quan trọng giữa TCI và DAI trong đóng góp lý thuyết của luận án.</w:t>
      </w:r>
    </w:p>
    <w:p>
      <w:pPr>
        <w:pStyle w:val="BodyText"/>
      </w:pPr>
      <w:r>
        <w:t xml:space="preserve">Cũng cần lưu ý rằng kết quả không có ý nghĩa về DAI tại Việt Nam (Việt Nam) và các bối cảnh thấp hơn không hẳn bác bỏ H3, mà phần nào phản ánh hạn chế đo lường: DAI Tier-1, gồm trang web, thư điện tử, bán hàng trực tuyến, chưa nắm bắt được chiều sâu của năng lực số. Khi DAI được đo bằng Tier-1+2, bổ sung thanh toán điện tử và kết nối nhà cung ứng số như ở Singapore, hiệu ứng điều tiết hiện ra rõ hơn. Quan trọng hơn, mọi thước đo DAI trong luận án đều là</w:t>
      </w:r>
      <w:r>
        <w:t xml:space="preserve"> </w:t>
      </w:r>
      <w:r>
        <w:rPr>
          <w:bCs/>
          <w:b/>
        </w:rPr>
        <w:t xml:space="preserve">chỉ số chấp nhận số tĩnh</w:t>
      </w:r>
      <w:r>
        <w:t xml:space="preserve"> </w:t>
      </w:r>
      <w:r>
        <w:t xml:space="preserve">dựa trên dữ liệu WBES tại một thời điểm, không phải năng lực số động theo nghĩa của lý thuyết năng lực động (Teece et al., 1997), bởi WBES không có đủ thang đo để đo tính động của năng lực số.</w:t>
      </w:r>
    </w:p>
    <w:p>
      <w:pPr>
        <w:pStyle w:val="BodyText"/>
      </w:pPr>
      <w:r>
        <w:t xml:space="preserve">Lý thuyết thể chế gợi thêm một cách giải thích. Ở các bối cảnh ICRV thấp với nhiều khoảng trống thể chế (Khanna &amp; Palepu, 2010), doanh nghiệp xuất khẩu dựa vào DAI nhiều hơn như một cơ chế bù đắp cho hạ tầng thể chế còn thiếu. Bằng chứng nằm ở tương tác DAI×ICRV (p = 0,049) trong phân tích đa quốc gia: DAI</w:t>
      </w:r>
      <w:r>
        <w:t xml:space="preserve"> </w:t>
      </w:r>
      <w:r>
        <w:rPr>
          <w:bCs/>
          <w:b/>
        </w:rPr>
        <w:t xml:space="preserve">mạnh hơn</w:t>
      </w:r>
      <w:r>
        <w:t xml:space="preserve"> </w:t>
      </w:r>
      <w:r>
        <w:t xml:space="preserve">nơi thể chế yếu, tức hiệu ứng thay thế số cho thể chế phát huy mạnh nhất khi nền tảng thể chế còn thiếu hụt, chứ không phải khi thể chế đã hoàn thiện.</w:t>
      </w:r>
    </w:p>
    <w:bookmarkEnd w:id="41"/>
    <w:bookmarkStart w:id="42" w:name="Xece9a1da6f346a507472622c3a51811b77b548d"/>
    <w:p>
      <w:pPr>
        <w:pStyle w:val="Heading3"/>
      </w:pPr>
      <w:r>
        <w:t xml:space="preserve">Đặc điểm nhà quản trị là kiểm soát quản trị nội sinh, hỗ trợ có điều kiện H4</w:t>
      </w:r>
    </w:p>
    <w:p>
      <w:pPr>
        <w:pStyle w:val="FirstParagraph"/>
      </w:pPr>
      <w:r>
        <w:t xml:space="preserve">Kết quả về H4 từ phân tích đa quốc gia cho thấy đặc điểm nhà quản trị cấp cao tác động ở dạng hiệu ứng mức (level effect). Giới tính nữ của nhà quản trị (</w:t>
      </w:r>
      <m:oMath>
        <m:acc>
          <m:accPr>
            <m:chr m:val="̂"/>
          </m:accPr>
          <m:e>
            <m:r>
              <m:t>β</m:t>
            </m:r>
          </m:e>
        </m:acc>
        <m:r>
          <m:rPr>
            <m:sty m:val="p"/>
          </m:rPr>
          <m:t>=</m:t>
        </m:r>
        <m:r>
          <m:rPr>
            <m:sty m:val="p"/>
          </m:rPr>
          <m:t>+</m:t>
        </m:r>
        <m:r>
          <m:t>0</m:t>
        </m:r>
        <m:r>
          <m:rPr>
            <m:sty m:val="p"/>
          </m:rPr>
          <m:t>,</m:t>
        </m:r>
        <m:r>
          <m:t>202</m:t>
        </m:r>
      </m:oMath>
      <w:r>
        <w:t xml:space="preserve">,</w:t>
      </w:r>
      <w:r>
        <w:t xml:space="preserve"> </w:t>
      </w:r>
      <m:oMath>
        <m:r>
          <m:t>p</m:t>
        </m:r>
        <m:r>
          <m:rPr>
            <m:sty m:val="p"/>
          </m:rPr>
          <m:t>&lt;</m:t>
        </m:r>
        <m:r>
          <m:rPr>
            <m:sty m:val="p"/>
          </m:rPr>
          <m:t>,</m:t>
        </m:r>
        <m:r>
          <m:t>001</m:t>
        </m:r>
      </m:oMath>
      <w:r>
        <w:t xml:space="preserve">) nhất quán nâng mặt bằng hiệu quả I-P trong toàn mẫu: doanh nghiệp có nhà quản trị cấp cao là nữ đạt hiệu quả cao hơn từ quốc tế hóa. Điều này phù hợp với lý thuyết thượng tầng quản trị (Hambrick &amp; Mason, 1984), theo đó đặc điểm của cấp lãnh đạo định hình cách tổ chức nhận diện và khai thác cơ hội quốc tế. Tuy vậy, để tăng tính nhận dạng riêng phần (partial identification) của tương tác Thể chế × Công nghệ, các đặc điểm nhà quản trị (kinh nghiệm, học vấn, giới tính) được đưa vào như biến kiểm soát quản trị nội sinh, không phải nhân tố điều tiết trọng tâm của đường cong I-P; ký hiệu H4 được giữ nguyên để tương thích với các bản thảo đồng hành (phân tích Việt Nam, Singapore và Trung Quốc).</w:t>
      </w:r>
    </w:p>
    <w:p>
      <w:pPr>
        <w:pStyle w:val="BodyText"/>
      </w:pPr>
      <w:r>
        <w:t xml:space="preserve">Cơ chế lý thuyết có thể đi qua hai kênh. Một là tính đa dạng nhận thức: nhà quản trị nữ thường mang lại góc nhìn khác biệt khi ra quyết định quốc tế hóa, giúp nhận diện thị trường ngách và giảm rủi ro tập trung. Hai là chuẩn mực quản trị: sự hiện diện của lãnh đạo nữ tương quan với thực hành quản trị tốt hơn và minh bạch hơn, điều đặc biệt quan trọng trong môi trường thể chế yếu. Việc kiểm soát các kênh này khóa chặt thiên lệch nội sinh phát sinh từ năng lực và sự đa dạng giới của nhà quản trị.</w:t>
      </w:r>
    </w:p>
    <w:p>
      <w:pPr>
        <w:pStyle w:val="BodyText"/>
      </w:pPr>
      <w:r>
        <w:t xml:space="preserve">Dù vậy, cần lưu ý rằng hiệu ứng mức này được phát hiện ở cấp gộp toàn mẫu (phân tích đa quốc gia 45 nền kinh tế); việc tách riêng và kiểm định khả năng điều tiết theo từng bối cảnh ICRV thuộc về hướng nghiên cứu tương lai. Kết quả không có ý nghĩa về kinh nghiệm nhà quản trị gợi ý rằng, trong bối cảnh châu Á đa dạng, số năm kinh nghiệm đơn thuần chưa nắm bắt được</w:t>
      </w:r>
      <w:r>
        <w:t xml:space="preserve"> </w:t>
      </w:r>
      <w:r>
        <w:rPr>
          <w:bCs/>
          <w:b/>
        </w:rPr>
        <w:t xml:space="preserve">chất lượng</w:t>
      </w:r>
      <w:r>
        <w:t xml:space="preserve"> </w:t>
      </w:r>
      <w:r>
        <w:t xml:space="preserve">của kinh nghiệm quốc tế, tức bề rộng so với chiều sâu. Đây là một hạn chế đo lường của WBES cần được khắc phục trong nghiên cứu tương lai.</w:t>
      </w:r>
    </w:p>
    <w:bookmarkEnd w:id="42"/>
    <w:bookmarkStart w:id="43" w:name="Xec64c810cb028afb72ecad1fcf3407044422350"/>
    <w:p>
      <w:pPr>
        <w:pStyle w:val="Heading3"/>
      </w:pPr>
      <w:r>
        <w:t xml:space="preserve">FIP là điều kiện biên cực đoan, H1b cho đảo nhỏ Thái Bình Dương</w:t>
      </w:r>
    </w:p>
    <w:p>
      <w:pPr>
        <w:pStyle w:val="FirstParagraph"/>
      </w:pPr>
      <w:r>
        <w:t xml:space="preserve">Gánh nặng quốc tế hóa bắt buộc (Forced Internationalization Penalty, FIP) tại các nền kinh tế đảo nhỏ (</w:t>
      </w:r>
      <m:oMath>
        <m:r>
          <m:t>β</m:t>
        </m:r>
        <m:r>
          <m:rPr>
            <m:sty m:val="p"/>
          </m:rPr>
          <m:t>=</m:t>
        </m:r>
        <m:r>
          <m:rPr>
            <m:sty m:val="p"/>
          </m:rPr>
          <m:t>−</m:t>
        </m:r>
        <m:r>
          <m:t>0</m:t>
        </m:r>
        <m:r>
          <m:rPr>
            <m:sty m:val="p"/>
          </m:rPr>
          <m:t>,</m:t>
        </m:r>
        <m:r>
          <m:t>404</m:t>
        </m:r>
      </m:oMath>
      <w:r>
        <w:t xml:space="preserve">,</w:t>
      </w:r>
      <w:r>
        <w:t xml:space="preserve"> </w:t>
      </w:r>
      <m:oMath>
        <m:r>
          <m:t>p</m:t>
        </m:r>
        <m:r>
          <m:rPr>
            <m:sty m:val="p"/>
          </m:rPr>
          <m:t>=</m:t>
        </m:r>
        <m:r>
          <m:rPr>
            <m:sty m:val="p"/>
          </m:rPr>
          <m:t>,</m:t>
        </m:r>
        <m:r>
          <m:t>032</m:t>
        </m:r>
      </m:oMath>
      <w:r>
        <w:t xml:space="preserve">, và mạnh hơn ở mẫu chỉ gồm doanh nghiệp xuất khẩu) đại diện cho</w:t>
      </w:r>
      <w:r>
        <w:t xml:space="preserve"> </w:t>
      </w:r>
      <w:r>
        <w:rPr>
          <w:bCs/>
          <w:b/>
        </w:rPr>
        <w:t xml:space="preserve">trường hợp cực đoan của CIMT mismatch</w:t>
      </w:r>
      <w:r>
        <w:t xml:space="preserve">: khi cả ba kênh CIMT đồng thời vận hành cực đại (rent protection thất bại, LoF cao, institutional-void cực rộng), signature đảo dấu từ chữ U ngược thành quan hệ âm đơn điệu. FIP là biểu hiện của trường hợp khi</w:t>
      </w:r>
      <w:r>
        <w:t xml:space="preserve"> </w:t>
      </w:r>
      <w:r>
        <w:rPr>
          <w:bCs/>
          <w:b/>
        </w:rPr>
        <w:t xml:space="preserve">cả ba lớp của khung phân tầng CIMT–ICRV–CDCM</w:t>
      </w:r>
      <w:r>
        <w:t xml:space="preserve"> </w:t>
      </w:r>
      <w:r>
        <w:t xml:space="preserve">— taxonomy ICRV ở vị trí Nhóm VI (SIDS), CIMT mismatch cực đại, và CDCM signature triệt tiêu — đồng pha. Khi thể chế yếu, TCI thấp và DAI không phát huy tác dụng, quốc tế hóa không chỉ ngừng ở chỗ không mang lại lợi ích, mà còn gây tổn hại thực sự đến hiệu quả doanh nghiệp.</w:t>
      </w:r>
    </w:p>
    <w:p>
      <w:pPr>
        <w:pStyle w:val="BodyText"/>
      </w:pPr>
      <w:r>
        <w:t xml:space="preserve">Quan hệ âm đơn điệu này khác về bản chất với quan hệ phi tuyến chữ U ngược: nó không có điểm uốn trong phạm vi dữ liệu, nghĩa là không tồn tại mức FSTS nào để doanh nghiệp đảo nhỏ cải thiện hiệu quả qua xuất khẩu trong điều kiện hiện tại. Đây là một ranh giới biên lý thuyết quan trọng đối với các mô hình phi tuyến phổ quát trong nghiên cứu I-P.</w:t>
      </w:r>
    </w:p>
    <w:bookmarkEnd w:id="43"/>
    <w:bookmarkEnd w:id="44"/>
    <w:bookmarkStart w:id="48" w:name="so-sánh-với-nghiên-cứu-trước-đây"/>
    <w:p>
      <w:pPr>
        <w:pStyle w:val="Heading2"/>
      </w:pPr>
      <w:r>
        <w:t xml:space="preserve">So sánh với nghiên cứu trước đây</w:t>
      </w:r>
    </w:p>
    <w:bookmarkStart w:id="45" w:name="nhất-quán-với-nền-tảng-icbef-2024"/>
    <w:p>
      <w:pPr>
        <w:pStyle w:val="Heading3"/>
      </w:pPr>
      <w:r>
        <w:t xml:space="preserve">Nhất quán với nền tảng ICBEF 2024</w:t>
      </w:r>
    </w:p>
    <w:p>
      <w:pPr>
        <w:pStyle w:val="FirstParagraph"/>
      </w:pPr>
      <w:r>
        <w:t xml:space="preserve">Hiệu ứng tổng hợp</w:t>
      </w:r>
      <w:r>
        <w:t xml:space="preserve"> </w:t>
      </w:r>
      <m:oMath>
        <m:r>
          <m:t>r</m:t>
        </m:r>
        <m:r>
          <m:rPr>
            <m:sty m:val="p"/>
          </m:rPr>
          <m:t>=</m:t>
        </m:r>
        <m:r>
          <m:t>0</m:t>
        </m:r>
        <m:r>
          <m:rPr>
            <m:sty m:val="p"/>
          </m:rPr>
          <m:t>,</m:t>
        </m:r>
        <m:r>
          <m:t>074</m:t>
        </m:r>
      </m:oMath>
      <w:r>
        <w:t xml:space="preserve"> </w:t>
      </w:r>
      <w:r>
        <w:t xml:space="preserve">(phân tích tổng hợp) hoàn toàn nhất quán với</w:t>
      </w:r>
      <w:r>
        <w:t xml:space="preserve"> </w:t>
      </w:r>
      <m:oMath>
        <m:r>
          <m:t>r</m:t>
        </m:r>
        <m:r>
          <m:rPr>
            <m:sty m:val="p"/>
          </m:rPr>
          <m:t>=</m:t>
        </m:r>
        <m:r>
          <m:t>0</m:t>
        </m:r>
        <m:r>
          <m:rPr>
            <m:sty m:val="p"/>
          </m:rPr>
          <m:t>,</m:t>
        </m:r>
        <m:r>
          <m:t>07</m:t>
        </m:r>
      </m:oMath>
      <w:r>
        <w:t xml:space="preserve"> </w:t>
      </w:r>
      <w:r>
        <w:t xml:space="preserve">từ phân tích tổng hợp nền tảng đã công bố tại hội nghị ICBEF 2024 (Do &amp; Phan, 2024). Sự hội tụ này đáng kể, bởi phân tích tổng hợp mở rộng tập lên</w:t>
      </w:r>
      <w:r>
        <w:t xml:space="preserve"> </w:t>
      </w:r>
      <m:oMath>
        <m:r>
          <m:t>k</m:t>
        </m:r>
        <m:r>
          <m:rPr>
            <m:sty m:val="p"/>
          </m:rPr>
          <m:t>=</m:t>
        </m:r>
        <m:r>
          <m:t>238</m:t>
        </m:r>
      </m:oMath>
      <w:r>
        <w:t xml:space="preserve"> </w:t>
      </w:r>
      <w:r>
        <w:t xml:space="preserve">so với</w:t>
      </w:r>
      <w:r>
        <w:t xml:space="preserve"> </w:t>
      </w:r>
      <m:oMath>
        <m:r>
          <m:t>k</m:t>
        </m:r>
        <m:r>
          <m:rPr>
            <m:sty m:val="p"/>
          </m:rPr>
          <m:t>=</m:t>
        </m:r>
        <m:r>
          <m:t>113</m:t>
        </m:r>
      </m:oMath>
      <w:r>
        <w:t xml:space="preserve"> </w:t>
      </w:r>
      <w:r>
        <w:t xml:space="preserve">và còn áp dụng một cấu trúc ba tầng phức tạp hơn. Việc hiệu ứng tổng hợp vẫn vững khi tập nghiên cứu được mở rộng chính là bằng chứng về độ ổn định của ước lượng nền tảng.</w:t>
      </w:r>
    </w:p>
    <w:p>
      <w:pPr>
        <w:pStyle w:val="BodyText"/>
      </w:pPr>
      <w:r>
        <w:t xml:space="preserve">Tuy vậy, đóng góp của phân tích tổng hợp so với nền tảng không nằm ở giá trị</w:t>
      </w:r>
      <w:r>
        <w:t xml:space="preserve"> </w:t>
      </w:r>
      <m:oMath>
        <m:r>
          <m:t>r</m:t>
        </m:r>
      </m:oMath>
      <w:r>
        <w:t xml:space="preserve"> </w:t>
      </w:r>
      <w:r>
        <w:t xml:space="preserve">tổng hợp, mà ở cấu trúc dị biệt: việc phân tách</w:t>
      </w:r>
      <w:r>
        <w:t xml:space="preserve"> </w:t>
      </w:r>
      <m:oMath>
        <m:sSup>
          <m:e>
            <m:r>
              <m:t>I</m:t>
            </m:r>
          </m:e>
          <m:sup>
            <m:r>
              <m:t>2</m:t>
            </m:r>
          </m:sup>
        </m:sSup>
        <m:r>
          <m:rPr>
            <m:sty m:val="p"/>
          </m:rPr>
          <m:t>=</m:t>
        </m:r>
        <m:r>
          <m:t>87</m:t>
        </m:r>
        <m:r>
          <m:rPr>
            <m:sty m:val="p"/>
          </m:rPr>
          <m:t>,</m:t>
        </m:r>
        <m:r>
          <m:t>8</m:t>
        </m:r>
        <m:r>
          <m:rPr>
            <m:sty m:val="p"/>
          </m:rPr>
          <m:t>%</m:t>
        </m:r>
      </m:oMath>
      <w:r>
        <w:t xml:space="preserve"> </w:t>
      </w:r>
      <w:r>
        <w:t xml:space="preserve">thành 76,1% ở tầng 2 và 11,8% ở tầng 3 là thông tin mới mà phân tích tổng hợp đơn tầng không thể cung cấp. Phát hiện này làm thay đổi hiểu biết về nguồn gốc của sự dị biệt giữa các nghiên cứu: vấn đề chủ yếu là</w:t>
      </w:r>
      <w:r>
        <w:t xml:space="preserve"> </w:t>
      </w:r>
      <w:r>
        <w:rPr>
          <w:bCs/>
          <w:b/>
        </w:rPr>
        <w:t xml:space="preserve">đo lường bên trong từng nghiên cứu</w:t>
      </w:r>
      <w:r>
        <w:t xml:space="preserve">, chứ không phải sự bất đồng căn bản giữa các nghiên cứu với nhau.</w:t>
      </w:r>
    </w:p>
    <w:bookmarkEnd w:id="45"/>
    <w:bookmarkStart w:id="46" w:name="X7b8db85450aaa41ba255e0d181ebc5c5ae65c48"/>
    <w:p>
      <w:pPr>
        <w:pStyle w:val="Heading3"/>
      </w:pPr>
      <w:r>
        <w:t xml:space="preserve">Vượt qua Lu và Beamish (2004) và Contractor et al. (2003)</w:t>
      </w:r>
    </w:p>
    <w:p>
      <w:pPr>
        <w:pStyle w:val="FirstParagraph"/>
      </w:pPr>
      <w:r>
        <w:t xml:space="preserve">Lu và Beamish (2004) cùng Contractor et al. (2003) là hai công trình nền tảng về quan hệ phi tuyến I-P. Lu và Beamish (2004) tìm thấy điểm uốn khoảng 60% FSTS trong mẫu doanh nghiệp Nhật Bản, còn Contractor et al. (2003) đề xuất đường cong chữ S ba giai đoạn. Luận án này vượt lên hai công trình đó theo ba hướng.</w:t>
      </w:r>
    </w:p>
    <w:p>
      <w:pPr>
        <w:pStyle w:val="BodyText"/>
      </w:pPr>
      <w:r>
        <w:t xml:space="preserve">Trước hết, luận án chứng minh rằng điểm uốn</w:t>
      </w:r>
      <w:r>
        <w:t xml:space="preserve"> </w:t>
      </w:r>
      <w:r>
        <w:rPr>
          <w:bCs/>
          <w:b/>
        </w:rPr>
        <w:t xml:space="preserve">không cố định</w:t>
      </w:r>
      <w:r>
        <w:t xml:space="preserve"> </w:t>
      </w:r>
      <w:r>
        <w:t xml:space="preserve">mà phụ thuộc bối cảnh ICRV: từ khoảng 82% ở Singapore (tiên tiến dẫn dắt bằng đổi mới) đến khoảng 39,7% ở Việt Nam gộp (chuyển đổi thu nhập trung bình thấp), với Trung Quốc ở mức trung gian, khoảng 48,78%. Không tồn tại một điểm uốn phổ quát cho mọi bối cảnh.</w:t>
      </w:r>
    </w:p>
    <w:p>
      <w:pPr>
        <w:pStyle w:val="BodyText"/>
      </w:pPr>
      <w:r>
        <w:t xml:space="preserve">Tiếp đó, luận án xác định trường hợp biên FIP tại các nền kinh tế đảo nhỏ: không phải chữ S hay chữ U ngược, mà là quan hệ âm đơn điệu, điều mà cả lý thuyết ba giai đoạn lẫn đường cong chữ S đều không dự báo được.</w:t>
      </w:r>
    </w:p>
    <w:p>
      <w:pPr>
        <w:pStyle w:val="BodyText"/>
      </w:pPr>
      <w:r>
        <w:t xml:space="preserve">Sau cùng, luận án mở rộng khung phân tích từ dữ liệu doanh nghiệp Nhật Bản và đa quốc gia sang 45 nền kinh tế châu Á và Thái Bình Dương, một bối cảnh còn ít được đại diện trong các nghiên cứu của Lu và Beamish.</w:t>
      </w:r>
    </w:p>
    <w:bookmarkEnd w:id="46"/>
    <w:bookmarkStart w:id="47" w:name="Xa9e0768422fd6621b6e86563bb0c71b914b0101"/>
    <w:p>
      <w:pPr>
        <w:pStyle w:val="Heading3"/>
      </w:pPr>
      <w:r>
        <w:t xml:space="preserve">Mở rộng Marano et al. (2016): ICRV thay cho chất lượng thể chế nhị phân</w:t>
      </w:r>
    </w:p>
    <w:p>
      <w:pPr>
        <w:pStyle w:val="FirstParagraph"/>
      </w:pPr>
      <w:r>
        <w:t xml:space="preserve">Marano et al. (2016) là phân tích tổng hợp quan trọng nhất trong những nghiên cứu gần đây, cung cấp bằng chứng về vai trò điều tiết của thể chế quốc gia nguồn trong quan hệ I-P. Tuy nhiên, nhóm tác giả này dùng phân loại nhị phân, phát triển so với mới nổi, hoặc dùng điểm số chất lượng thể chế liên tục.</w:t>
      </w:r>
    </w:p>
    <w:p>
      <w:pPr>
        <w:pStyle w:val="BodyText"/>
      </w:pPr>
      <w:r>
        <w:t xml:space="preserve">Luận án này mở rộng Marano et al. (2016) theo hướng</w:t>
      </w:r>
      <w:r>
        <w:t xml:space="preserve"> </w:t>
      </w:r>
      <w:r>
        <w:rPr>
          <w:bCs/>
          <w:b/>
        </w:rPr>
        <w:t xml:space="preserve">phân loại đa chiều</w:t>
      </w:r>
      <w:r>
        <w:t xml:space="preserve">. Sáu nhóm con ICRV nắm bắt được sự đa dạng ngay trong nội bộ nhóm</w:t>
      </w:r>
      <w:r>
        <w:t xml:space="preserve"> </w:t>
      </w:r>
      <w:r>
        <w:t xml:space="preserve">“</w:t>
      </w:r>
      <w:r>
        <w:t xml:space="preserve">mới nổi</w:t>
      </w:r>
      <w:r>
        <w:t xml:space="preserve">”</w:t>
      </w:r>
      <w:r>
        <w:t xml:space="preserve">, phân biệt Trung Quốc thu nhập trung bình cao với Việt Nam thu nhập trung bình thấp, với Bangladesh cận biên và các nền kinh tế đảo nhỏ; đồng thời phân biệt trong nhóm</w:t>
      </w:r>
      <w:r>
        <w:t xml:space="preserve"> </w:t>
      </w:r>
      <w:r>
        <w:t xml:space="preserve">“</w:t>
      </w:r>
      <w:r>
        <w:t xml:space="preserve">tiên tiến</w:t>
      </w:r>
      <w:r>
        <w:t xml:space="preserve">”</w:t>
      </w:r>
      <w:r>
        <w:t xml:space="preserve">, tách Singapore dẫn dắt bằng đổi mới khỏi các nền kinh tế vùng Vịnh dẫn dắt bằng tài nguyên. Phân loại nhị phân bỏ sót chính sự biến thiên quan trọng này, nên đánh mất thông tin về dải biến thiên.</w:t>
      </w:r>
    </w:p>
    <w:p>
      <w:pPr>
        <w:pStyle w:val="BodyText"/>
      </w:pPr>
      <w:r>
        <w:t xml:space="preserve">Bên cạnh đó, luận án dùng phương pháp phân tích tổng hợp ba tầng để tách cấu trúc dị biệt, một cải tiến phương pháp so với phân tích tổng hợp hiệu ứng ngẫu nhiên đơn tầng của Marano et al. (2016).</w:t>
      </w:r>
    </w:p>
    <w:bookmarkEnd w:id="47"/>
    <w:bookmarkEnd w:id="48"/>
    <w:bookmarkStart w:id="52" w:name="đóng-góp-lý-thuyết"/>
    <w:p>
      <w:pPr>
        <w:pStyle w:val="Heading2"/>
      </w:pPr>
      <w:r>
        <w:t xml:space="preserve">Đóng góp lý thuyết</w:t>
      </w:r>
    </w:p>
    <w:bookmarkStart w:id="49" w:name="X62295425cee35ba155eae5825c47c4815b204a9"/>
    <w:p>
      <w:pPr>
        <w:pStyle w:val="Heading3"/>
      </w:pPr>
      <w:r>
        <w:t xml:space="preserve">CIMT là umbrella + CDCM signature làm rõ DAI là nguồn lực tình huống</w:t>
      </w:r>
    </w:p>
    <w:p>
      <w:pPr>
        <w:pStyle w:val="FirstParagraph"/>
      </w:pPr>
      <w:r>
        <w:t xml:space="preserve">Đóng góp lý thuyết đầu tiên là chính bản thân khung phân tầng:</w:t>
      </w:r>
      <w:r>
        <w:t xml:space="preserve"> </w:t>
      </w:r>
      <w:r>
        <w:rPr>
          <w:bCs/>
          <w:b/>
        </w:rPr>
        <w:t xml:space="preserve">CIMT (Capability–Institution Mismatch Theory)</w:t>
      </w:r>
      <w:r>
        <w:t xml:space="preserve"> </w:t>
      </w:r>
      <w:r>
        <w:t xml:space="preserve">được phát triển trong luận án này như một</w:t>
      </w:r>
      <w:r>
        <w:t xml:space="preserve"> </w:t>
      </w:r>
      <w:r>
        <w:rPr>
          <w:iCs/>
          <w:i/>
        </w:rPr>
        <w:t xml:space="preserve">middle-range integrative framework</w:t>
      </w:r>
      <w:r>
        <w:t xml:space="preserve"> </w:t>
      </w:r>
      <w:r>
        <w:t xml:space="preserve">(Merton, 1968; Whetten, 1989; Corley &amp; Gioia, 2011) tích hợp ba kênh đã khẳng định thành một mechanism thống nhất, neo trên taxonomy ICRV và quan sát được qua signature CDCM. Bên trong khung này, đóng góp signature-level là làm rõ</w:t>
      </w:r>
      <w:r>
        <w:t xml:space="preserve"> </w:t>
      </w:r>
      <w:r>
        <w:rPr>
          <w:bCs/>
          <w:b/>
        </w:rPr>
        <w:t xml:space="preserve">bản chất của DAI</w:t>
      </w:r>
      <w:r>
        <w:t xml:space="preserve"> </w:t>
      </w:r>
      <w:r>
        <w:t xml:space="preserve">trong CDCM. DAI có hiệu ứng nâng mặt bằng phổ quát (β = +0,172, p &lt; 0,001, mẫu gộp N=82.302 từ 45 nền kinh tế), nhưng vai trò uốn đường cong I-P lại</w:t>
      </w:r>
      <w:r>
        <w:t xml:space="preserve"> </w:t>
      </w:r>
      <w:r>
        <w:rPr>
          <w:bCs/>
          <w:b/>
        </w:rPr>
        <w:t xml:space="preserve">phụ thuộc bối cảnh</w:t>
      </w:r>
      <w:r>
        <w:t xml:space="preserve"> </w:t>
      </w:r>
      <w:r>
        <w:t xml:space="preserve">(DAI×ICRV: p = 0,049). Điều đó gợi ý rằng DAI không phải năng lực nền tảng như TCI, mà là</w:t>
      </w:r>
      <w:r>
        <w:t xml:space="preserve"> </w:t>
      </w:r>
      <w:r>
        <w:rPr>
          <w:bCs/>
          <w:b/>
        </w:rPr>
        <w:t xml:space="preserve">nguồn lực tình huống</w:t>
      </w:r>
      <w:r>
        <w:t xml:space="preserve">, một tài nguyên có vai trò thay đổi theo bối cảnh thể chế. Đáng chú ý, tương tác DAI×ICRV (p = 0,049) cho thấy hiệu ứng điều tiết của DAI</w:t>
      </w:r>
      <w:r>
        <w:t xml:space="preserve"> </w:t>
      </w:r>
      <w:r>
        <w:rPr>
          <w:bCs/>
          <w:b/>
        </w:rPr>
        <w:t xml:space="preserve">mạnh hơn</w:t>
      </w:r>
      <w:r>
        <w:t xml:space="preserve"> </w:t>
      </w:r>
      <w:r>
        <w:t xml:space="preserve">ở các nền kinh tế thể chế yếu (cận biên, đảo nhỏ): năng lực số bù đắp cho thiếu hụt thể chế.</w:t>
      </w:r>
    </w:p>
    <w:p>
      <w:pPr>
        <w:pStyle w:val="BodyText"/>
      </w:pPr>
      <w:r>
        <w:t xml:space="preserve">Phát hiện này mang hàm ý lý thuyết quan trọng cho RBV và các nghiên cứu về năng lực số (Bhandari et al., 2023; Verhoef et al., 2021): không phải mọi nguồn lực số đều tạo lợi thế cạnh tranh theo cùng một cơ chế trong mọi bối cảnh. Giá trị của DAI là một tài sản bổ trợ (Teece, 1986) cho bối cảnh thể chế, nhưng theo hướng</w:t>
      </w:r>
      <w:r>
        <w:t xml:space="preserve"> </w:t>
      </w:r>
      <w:r>
        <w:rPr>
          <w:bCs/>
          <w:b/>
        </w:rPr>
        <w:t xml:space="preserve">nghịch chiều</w:t>
      </w:r>
      <w:r>
        <w:t xml:space="preserve">: DAI hoạt động như tài sản bù đắp trong bối cảnh thể chế yếu, nơi hạ tầng thể chế chưa đủ sức hỗ trợ doanh nghiệp xuất khẩu. Đây là bằng chứng thực nghiệm bổ sung cho lý thuyết về vai trò thay thế giữa thể chế và năng lực số.</w:t>
      </w:r>
    </w:p>
    <w:bookmarkEnd w:id="49"/>
    <w:bookmarkStart w:id="50" w:name="X2d492fa0307aa4991837f2d5dc38e247101178c"/>
    <w:p>
      <w:pPr>
        <w:pStyle w:val="Heading3"/>
      </w:pPr>
      <w:r>
        <w:t xml:space="preserve">FIP, Khái niệm mới về trường hợp biên cho SIDS</w:t>
      </w:r>
    </w:p>
    <w:p>
      <w:pPr>
        <w:pStyle w:val="FirstParagraph"/>
      </w:pPr>
      <w:r>
        <w:t xml:space="preserve">Đóng góp lý thuyết thứ hai là đề xuất và đặt tên cho</w:t>
      </w:r>
      <w:r>
        <w:t xml:space="preserve"> </w:t>
      </w:r>
      <w:r>
        <w:rPr>
          <w:bCs/>
          <w:b/>
        </w:rPr>
        <w:t xml:space="preserve">gánh nặng quốc tế hóa bắt buộc (Forced Internationalization Penalty, FIP)</w:t>
      </w:r>
      <w:r>
        <w:t xml:space="preserve">, một cấu trúc lý thuyết mới chưa từng được định danh trong tài liệu nghiên cứu kinh doanh quốc tế. Đây là một hiện tượng lý thuyết độc lập, khác về bản chất với phần sườn đi xuống của giai đoạn đầu trong lý thuyết đường cong chữ S. FIP không phải là giai đoạn đầu của quá trình học hỏi với chi phí học hỏi như mô hình Uppsala dự đoán, mà là một trạng thái cấu trúc bất lợi kéo dài: doanh nghiệp đảo nhỏ buộc phải xuất khẩu để tồn tại vì thị trường nội địa quá nhỏ, nhưng lại thiếu cả năng lực lẫn môi trường để hưởng lợi thế từ xuất khẩu.</w:t>
      </w:r>
    </w:p>
    <w:p>
      <w:pPr>
        <w:pStyle w:val="BodyText"/>
      </w:pPr>
      <w:r>
        <w:t xml:space="preserve">Khái niệm FIP mở ra hướng nghiên cứu mới về</w:t>
      </w:r>
      <w:r>
        <w:t xml:space="preserve"> </w:t>
      </w:r>
      <w:r>
        <w:rPr>
          <w:bCs/>
          <w:b/>
        </w:rPr>
        <w:t xml:space="preserve">điều kiện biên của lý thuyết quốc tế hóa</w:t>
      </w:r>
      <w:r>
        <w:t xml:space="preserve">: trong điều kiện nào thì quốc tế hóa càng sâu lại càng làm hiệu quả tệ đi? Luận án lập luận rằng FIP xuất hiện khi ba điều kiện cùng hội tụ: thể chế ICRV ở mức thấp nhất, quy mô nền kinh tế quá nhỏ để tạo cơ sở nội địa, và thiếu hỗ trợ chính sách cho năng lực xuất khẩu. Ba điều kiện này kết hợp lại tạo nên một cái bẫy quốc tế hóa bắt buộc, không có điểm uốn nào để thoát ra.</w:t>
      </w:r>
    </w:p>
    <w:bookmarkEnd w:id="50"/>
    <w:bookmarkStart w:id="51" w:name="X7352a2da659179c15b73f9225773fcebe172e9a"/>
    <w:p>
      <w:pPr>
        <w:pStyle w:val="Heading3"/>
      </w:pPr>
      <w:r>
        <w:t xml:space="preserve">ICRV sáu chế độ: phân loại thể chế đặc thù cho khu vực châu Á, Thái Bình Dương</w:t>
      </w:r>
    </w:p>
    <w:p>
      <w:pPr>
        <w:pStyle w:val="FirstParagraph"/>
      </w:pPr>
      <w:r>
        <w:t xml:space="preserve">Đóng góp lý thuyết thứ ba là phát triển và kiểm định</w:t>
      </w:r>
      <w:r>
        <w:t xml:space="preserve"> </w:t>
      </w:r>
      <w:r>
        <w:rPr>
          <w:bCs/>
          <w:b/>
        </w:rPr>
        <w:t xml:space="preserve">khung ICRV sáu nhóm con</w:t>
      </w:r>
      <w:r>
        <w:t xml:space="preserve"> </w:t>
      </w:r>
      <w:r>
        <w:t xml:space="preserve">như một công cụ phân loại thể chế đặc thù cho khu vực châu Á, Thái Bình Dương, thay cho các phân loại nhị phân (phát triển và mới nổi) hay liên tục (điểm số WGI) trong các nghiên cứu hiện tại.</w:t>
      </w:r>
    </w:p>
    <w:p>
      <w:pPr>
        <w:pStyle w:val="BodyText"/>
      </w:pPr>
      <w:r>
        <w:t xml:space="preserve">ICRV nắm bắt được một sự đa dạng thể chế chưa từng được vận hành hóa đầy đủ. Đó là khác biệt giữa Singapore, nhóm tiên tiến dẫn dắt bằng đổi mới với pháp quyền mạnh và hệ sinh thái đổi mới, với các nền kinh tế vùng Vịnh, nhóm tiên tiến dẫn dắt bằng tài nguyên giàu tài nguyên nhưng có hệ sinh thái đổi mới khác hẳn. Đó cũng là khác biệt giữa Trung Quốc thu nhập trung bình cao, nơi nhà nước can thiệp mạnh, với Việt Nam thu nhập trung bình thấp đang cải cách, và với Bangladesh cận biên với khoảng trống thể chế lớn. ICRV không chỉ là một phân loại mô tả, mà còn là một phân loại</w:t>
      </w:r>
      <w:r>
        <w:t xml:space="preserve"> </w:t>
      </w:r>
      <w:r>
        <w:rPr>
          <w:bCs/>
          <w:b/>
        </w:rPr>
        <w:t xml:space="preserve">có giá trị dự đoán</w:t>
      </w:r>
      <w:r>
        <w:t xml:space="preserve">: độ cong (concavity / biên độ) của quan hệ I-P sâu dần khi chất lượng thể chế suy giảm, từ gần tuyến tính ở chế độ tiên tiến dẫn dắt bằng đổi mới đến hình chữ U ngược rõ nét với hình phạt sau đỉnh gay gắt ở chế độ cận biên và đảo nhỏ, trong khi điểm uốn theo nhóm không đồng nhất và không dịch chuyển đơn điệu. Thể chế càng yếu, hình phạt cho quốc tế hóa quá mức càng gay gắt, đúng như giá trị dự đoán của phân loại.</w:t>
      </w:r>
    </w:p>
    <w:bookmarkEnd w:id="51"/>
    <w:bookmarkEnd w:id="52"/>
    <w:bookmarkStart w:id="57" w:name="đề-xuất-chính-sách-và-quản-trị"/>
    <w:p>
      <w:pPr>
        <w:pStyle w:val="Heading2"/>
      </w:pPr>
      <w:r>
        <w:t xml:space="preserve">Đề xuất chính sách và quản trị</w:t>
      </w:r>
    </w:p>
    <w:bookmarkStart w:id="53" w:name="Xbc6d621fc32e0aca77269dff0917fe138aa2fc5"/>
    <w:p>
      <w:pPr>
        <w:pStyle w:val="Heading3"/>
      </w:pPr>
      <w:r>
        <w:t xml:space="preserve">Đề xuất cho nhà hoạch định chính sách: nâng cao TCI và cải thiện thể chế</w:t>
      </w:r>
    </w:p>
    <w:p>
      <w:pPr>
        <w:pStyle w:val="FirstParagraph"/>
      </w:pPr>
      <w:r>
        <w:t xml:space="preserve">Kết quả về TCI mang một hàm ý chính sách rõ ràng:</w:t>
      </w:r>
      <w:r>
        <w:t xml:space="preserve"> </w:t>
      </w:r>
      <w:r>
        <w:rPr>
          <w:bCs/>
          <w:b/>
        </w:rPr>
        <w:t xml:space="preserve">đầu tư vào năng lực công nghệ của doanh nghiệp</w:t>
      </w:r>
      <w:r>
        <w:t xml:space="preserve"> </w:t>
      </w:r>
      <w:r>
        <w:t xml:space="preserve">là một can thiệp có thể nâng cao lợi ích từ quốc tế hóa, nhất là ở các bối cảnh ICRV trung bình như Việt Nam và Trung Quốc. Chính sách giúp doanh nghiệp tiếp cận công nghệ nước ngoài, qua chương trình kết nối với công ty đa quốc gia hay giảm thuế nhập khẩu công nghệ, cùng với khuyến khích nghiên cứu và phát triển và hỗ trợ chứng nhận chất lượng quốc tế, sẽ nâng TCI của toàn bộ doanh nghiệp trong nền kinh tế. Nhờ đó, đường I-P dịch lên trên và điểm uốn có thể mở rộng về phía phải.</w:t>
      </w:r>
    </w:p>
    <w:p>
      <w:pPr>
        <w:pStyle w:val="BodyText"/>
      </w:pPr>
      <w:r>
        <w:t xml:space="preserve">Dải biến thiên ICRV gợi ý rằng</w:t>
      </w:r>
      <w:r>
        <w:t xml:space="preserve"> </w:t>
      </w:r>
      <w:r>
        <w:rPr>
          <w:bCs/>
          <w:b/>
        </w:rPr>
        <w:t xml:space="preserve">cải thiện chất lượng thể chế</w:t>
      </w:r>
      <w:r>
        <w:t xml:space="preserve">, gồm pháp quyền, bảo vệ quyền sở hữu trí tuệ và giảm chi phí tuân thủ thương mại, mới là can thiệp dài hạn quan trọng nhất. Doanh nghiệp ở nền kinh tế thể chế tốt hơn có thể quốc tế hóa đến mức cao hơn trước khi chi phí vượt qua lợi ích. Như vậy, cải cách thể chế không chỉ có lợi cho kinh doanh nội địa, mà còn mở rộng cả không gian lợi ích từ xuất khẩu.</w:t>
      </w:r>
    </w:p>
    <w:p>
      <w:pPr>
        <w:pStyle w:val="BodyText"/>
      </w:pPr>
      <w:r>
        <w:t xml:space="preserve">Riêng với Việt Nam, việc điểm uốn dịch từ 46,2% (2009) xuống 39,3% (2015) là một tín hiệu đáng lo ngại. Nếu điểm uốn tiếp tục dịch sang trái, lợi ích từ xuất khẩu sẽ đạt đỉnh sớm hơn và suy giảm nhanh hơn, có thể vì cấu trúc xuất khẩu thiên về gia công với biên lợi nhuận mỏng. Chính sách nâng cao giá trị gia tăng trong xuất khẩu, tức tiến lên các nấc cao hơn trong chuỗi giá trị, kết hợp với tăng cường TCI, có thể giúp đảo ngược xu hướng này.</w:t>
      </w:r>
    </w:p>
    <w:bookmarkEnd w:id="53"/>
    <w:bookmarkStart w:id="54" w:name="X59d919466906d9a280d645023e1878e458893ad"/>
    <w:p>
      <w:pPr>
        <w:pStyle w:val="Heading3"/>
      </w:pPr>
      <w:r>
        <w:t xml:space="preserve">Đề xuất cho nhà quản trị doanh nghiệp: điểm uốn theo ICRV</w:t>
      </w:r>
    </w:p>
    <w:p>
      <w:pPr>
        <w:pStyle w:val="FirstParagraph"/>
      </w:pPr>
      <w:r>
        <w:t xml:space="preserve">Kết quả thực nghiệm cung cấp những</w:t>
      </w:r>
      <w:r>
        <w:t xml:space="preserve"> </w:t>
      </w:r>
      <w:r>
        <w:rPr>
          <w:bCs/>
          <w:b/>
        </w:rPr>
        <w:t xml:space="preserve">chỉ dẫn thực tế</w:t>
      </w:r>
      <w:r>
        <w:t xml:space="preserve"> </w:t>
      </w:r>
      <w:r>
        <w:t xml:space="preserve">cho nhà quản trị về mức độ quốc tế hóa tối ưu theo từng bối cảnh:</w:t>
      </w:r>
    </w:p>
    <w:p>
      <w:pPr>
        <w:numPr>
          <w:ilvl w:val="0"/>
          <w:numId w:val="1001"/>
        </w:numPr>
      </w:pPr>
      <w:r>
        <w:rPr>
          <w:bCs/>
          <w:b/>
        </w:rPr>
        <w:t xml:space="preserve">Doanh nghiệp Singapore (Nhóm I)</w:t>
      </w:r>
      <w:r>
        <w:t xml:space="preserve">: điểm uốn khoảng 82% cho thấy không gian quốc tế hóa rất rộng. Chiến lược mở rộng quốc tế mạnh mẽ, với mức cam kết cao, phù hợp với bối cảnh này, nhất là khi đi kèm DAI cao.</w:t>
      </w:r>
    </w:p>
    <w:p>
      <w:pPr>
        <w:numPr>
          <w:ilvl w:val="0"/>
          <w:numId w:val="1001"/>
        </w:numPr>
      </w:pPr>
      <w:r>
        <w:rPr>
          <w:bCs/>
          <w:b/>
        </w:rPr>
        <w:t xml:space="preserve">Doanh nghiệp Trung Quốc (Nhóm III)</w:t>
      </w:r>
      <w:r>
        <w:t xml:space="preserve">: điểm uốn khoảng 48,78% ổn định qua thập kỷ 2012-2024, gợi ý rằng chiến lược xuất khẩu tối ưu là giữ tỷ lệ FSTS trong khoảng 40-50%, cân bằng giữa thị trường nội địa khổng lồ và hoạt động xuất khẩu có chọn lọc.</w:t>
      </w:r>
    </w:p>
    <w:p>
      <w:pPr>
        <w:numPr>
          <w:ilvl w:val="0"/>
          <w:numId w:val="1001"/>
        </w:numPr>
      </w:pPr>
      <w:r>
        <w:rPr>
          <w:bCs/>
          <w:b/>
        </w:rPr>
        <w:t xml:space="preserve">Doanh nghiệp Việt Nam (Nhóm IV)</w:t>
      </w:r>
      <w:r>
        <w:t xml:space="preserve">: điểm uốn thấp hơn, trong khoảng 39,3-46,2%, hàm ý nhà quản trị cần thận trọng khi đẩy tỷ lệ xuất khẩu vượt quá 40% tổng doanh thu. Thay vào đó,</w:t>
      </w:r>
      <w:r>
        <w:t xml:space="preserve"> </w:t>
      </w:r>
      <w:r>
        <w:rPr>
          <w:bCs/>
          <w:b/>
        </w:rPr>
        <w:t xml:space="preserve">nâng cao TCI</w:t>
      </w:r>
      <w:r>
        <w:t xml:space="preserve"> </w:t>
      </w:r>
      <w:r>
        <w:t xml:space="preserve">trước khi mở rộng quốc tế sẽ hiệu quả hơn là chỉ tăng FSTS đơn thuần.</w:t>
      </w:r>
    </w:p>
    <w:p>
      <w:pPr>
        <w:numPr>
          <w:ilvl w:val="0"/>
          <w:numId w:val="1001"/>
        </w:numPr>
      </w:pPr>
      <w:r>
        <w:rPr>
          <w:bCs/>
          <w:b/>
        </w:rPr>
        <w:t xml:space="preserve">Doanh nghiệp đảo nhỏ Thái Bình Dương (Nhóm VI)</w:t>
      </w:r>
      <w:r>
        <w:t xml:space="preserve">: kết quả FIP là một lời cảnh báo nghiêm túc. Đẩy mạnh xuất khẩu trong điều kiện thiếu năng lực và hỗ trợ thể chế không những không cải thiện, mà còn có thể làm xấu đi hiệu quả hoạt động. Các doanh nghiệp này nên ưu tiên xây dựng năng lực nội địa và nâng cao TCI trước khi mở rộng xuất khẩu đáng kể.</w:t>
      </w:r>
    </w:p>
    <w:bookmarkEnd w:id="54"/>
    <w:bookmarkStart w:id="55" w:name="X8eb24980ca890fc6da7d7cc40ee5058abf48ce9"/>
    <w:p>
      <w:pPr>
        <w:pStyle w:val="Heading3"/>
      </w:pPr>
      <w:r>
        <w:t xml:space="preserve">Đề xuất riêng cho đảo nhỏ Thái Bình Dương: tránh bẫy quốc tế hóa bắt buộc</w:t>
      </w:r>
    </w:p>
    <w:p>
      <w:pPr>
        <w:pStyle w:val="FirstParagraph"/>
      </w:pPr>
      <w:r>
        <w:t xml:space="preserve">Phát hiện FIP tại chín quốc gia đảo nhỏ Thái Bình Dương mang một hàm ý chính sách cụ thể và cấp bách. Hiện nay, nhiều chương trình phát triển quốc tế và viện trợ thương mại cho khu vực này tập trung vào việc khuyến khích xuất khẩu như một chiến lược tăng trưởng. Kết quả FIP đặt dấu hỏi về hiệu quả của chiến lược ấy khi nền tảng năng lực tương ứng còn thiếu.</w:t>
      </w:r>
    </w:p>
    <w:p>
      <w:pPr>
        <w:pStyle w:val="BodyText"/>
      </w:pPr>
      <w:r>
        <w:t xml:space="preserve">Hàm ý chính sách rút ra là:</w:t>
      </w:r>
      <w:r>
        <w:t xml:space="preserve"> </w:t>
      </w:r>
      <w:r>
        <w:rPr>
          <w:bCs/>
          <w:b/>
        </w:rPr>
        <w:t xml:space="preserve">vấn đề không phải xuất khẩu nhiều hơn, mà là xuất khẩu tốt hơn</w:t>
      </w:r>
      <w:r>
        <w:t xml:space="preserve">. Cụ thể, ưu tiên nên đặt vào ba hướng: xây dựng hạ tầng hậu cần và kết nối để giảm chi phí cố định của xuất khẩu; phát triển năng lực doanh nghiệp qua TCI chứ không chỉ qua DAI bề mặt; và thiết kế chương trình hỗ trợ xuất khẩu có chọn lọc, hướng vào những doanh nghiệp đã đủ năng lực để hưởng lợi, thay vì khuyến khích đại trà. Tóm lại, muốn tránh bẫy quốc tế hóa bắt buộc thì các can thiệp chính sách phải xây dựng năng lực trước khi thúc đẩy mở rộng thị trường.</w:t>
      </w:r>
    </w:p>
    <w:bookmarkEnd w:id="55"/>
    <w:bookmarkStart w:id="56" w:name="Xe9c04ec45c7d98621ecb7c78564ab84a21b4658"/>
    <w:p>
      <w:pPr>
        <w:pStyle w:val="Heading3"/>
      </w:pPr>
      <w:r>
        <w:t xml:space="preserve">Ý nghĩa chính sách đặc thù cho Đồng bằng sông Cửu Long</w:t>
      </w:r>
    </w:p>
    <w:p>
      <w:pPr>
        <w:pStyle w:val="FirstParagraph"/>
      </w:pPr>
      <w:r>
        <w:t xml:space="preserve">Kết quả từ Nghiên cứu phân tích Việt Nam (Việt Nam, ICRV Nhóm IV) mang hàm ý cụ thể và trực tiếp cho bối cảnh Đồng bằng sông Cửu Long, khu vực chiếm gần 18% GDP cả nước, hơn 50% sản lượng gạo và 65% kim ngạch xuất khẩu thủy sản của Việt Nam. Doanh nghiệp xuất khẩu nơi đây hoạt động trong cùng bối cảnh thể chế với mẫu phân tích Việt Nam, nhưng đặc điểm cấu trúc còn nhiều thách thức hơn: doanh nghiệp nhỏ và vừa chiếm ưu thế, TCI thấp hơn mức trung bình quốc gia, và tỷ lệ FSTS cấu trúc cao, vì gạo và thủy sản vốn là hàng hóa xuất khẩu chủ yếu, không có thị trường nội địa đủ lớn để hấp thụ.</w:t>
      </w:r>
    </w:p>
    <w:p>
      <w:pPr>
        <w:pStyle w:val="BodyText"/>
      </w:pPr>
      <w:r>
        <w:rPr>
          <w:bCs/>
          <w:b/>
        </w:rPr>
        <w:t xml:space="preserve">Điểm uốn thấp, khoảng 39-46% FSTS, là một cảnh báo cụ thể cho doanh nghiệp xuất khẩu thủy sản và gạo Đồng bằng sông Cửu Long</w:t>
      </w:r>
      <w:r>
        <w:t xml:space="preserve">, nơi FSTS cấu trúc thường vượt 50-70% tổng doanh thu. Kết quả phân tích Việt Nam gợi ý rằng nhiều doanh nghiệp trong số đó có thể đang ở phía bên kia điểm uốn, tức đang gánh chi phí phối hợp quốc tế mà hiệu quả không tăng tương ứng. Giải pháp không phải là giảm xuất khẩu, bởi không có thị trường nội địa để thay thế, mà là</w:t>
      </w:r>
      <w:r>
        <w:t xml:space="preserve"> </w:t>
      </w:r>
      <w:r>
        <w:rPr>
          <w:bCs/>
          <w:b/>
        </w:rPr>
        <w:t xml:space="preserve">nâng TCI song song</w:t>
      </w:r>
      <w:r>
        <w:t xml:space="preserve"> </w:t>
      </w:r>
      <w:r>
        <w:t xml:space="preserve">nhằm đẩy điểm uốn sang phải, mở rộng biên lợi ích của xuất khẩu.</w:t>
      </w:r>
    </w:p>
    <w:p>
      <w:pPr>
        <w:pStyle w:val="BodyText"/>
      </w:pPr>
      <w:r>
        <w:t xml:space="preserve">Mức</w:t>
      </w:r>
      <w:r>
        <w:t xml:space="preserve"> </w:t>
      </w:r>
      <w:r>
        <w:rPr>
          <w:bCs/>
          <w:b/>
        </w:rPr>
        <w:t xml:space="preserve">DAI Tier-1, đo bằng mức chấp nhận trang web,</w:t>
      </w:r>
      <w:r>
        <w:t xml:space="preserve"> </w:t>
      </w:r>
      <w:r>
        <w:t xml:space="preserve">tại Đồng bằng sông Cửu Long vẫn còn thấp so với trung bình cả nước. phân tích Việt Nam cho thấy DAI Tier-1 đơn thuần không có tác động đáng kể, nhưng bằng chứng từ phân tích Singapore (Tier-1+2) lại cho thấy khi doanh nghiệp nâng lên DAI Tier-2, gồm trang web cùng thanh toán điện tử và kết nối nhà cung ứng số, hiệu ứng điều tiết hiện ra rõ rệt. Đây là cơ sở để ưu tiên các chương trình chuyển đổi số</w:t>
      </w:r>
      <w:r>
        <w:t xml:space="preserve"> </w:t>
      </w:r>
      <w:r>
        <w:rPr>
          <w:bCs/>
          <w:b/>
        </w:rPr>
        <w:t xml:space="preserve">toàn diện</w:t>
      </w:r>
      <w:r>
        <w:t xml:space="preserve">, không dừng ở trang web ở mức nền tảng (Tier-1), mà tiến tới tích hợp thanh toán điện tử và kết nối nhà cung ứng số ở Tier-2, đúng tinh thần Chương trình Chuyển đổi số Quốc gia 2025-2030. Nghiên cứu trên dữ liệu WBES Việt Nam 2023, đợt khảo sát gần nhất, sẽ cung cấp bằng chứng cập nhật hơn cho các hàm ý này.</w:t>
      </w:r>
    </w:p>
    <w:bookmarkEnd w:id="56"/>
    <w:bookmarkEnd w:id="57"/>
    <w:bookmarkStart w:id="62" w:name="hạn-chế-và-hướng-nghiên-cứu-tương-lai"/>
    <w:p>
      <w:pPr>
        <w:pStyle w:val="Heading2"/>
      </w:pPr>
      <w:r>
        <w:t xml:space="preserve">Hạn chế và hướng nghiên cứu tương lai</w:t>
      </w:r>
    </w:p>
    <w:bookmarkStart w:id="58" w:name="hạn-chế-về-đo-lường-dai"/>
    <w:p>
      <w:pPr>
        <w:pStyle w:val="Heading3"/>
      </w:pPr>
      <w:r>
        <w:t xml:space="preserve">Hạn chế về đo lường DAI</w:t>
      </w:r>
    </w:p>
    <w:p>
      <w:pPr>
        <w:pStyle w:val="FirstParagraph"/>
      </w:pPr>
      <w:r>
        <w:t xml:space="preserve">Hạn chế quan trọng nhất của luận án nằm ở việc đo lường DAI. Dữ liệu WBES chỉ cung cấp một số ít chỉ báo để xây dựng chỉ số DAI, và các chỉ báo này lại thay đổi qua các thế hệ lược đồ khảo sát WBES (PICS3, lược đồ chuẩn hóa, BREADY/BEE). Tại Việt Nam (Việt Nam), chỉ DAI Tier-1, gồm trang web, thư điện tử và bán hàng trực tuyến, được sử dụng, do giới hạn của các đợt khảo sát 2009 và 2015; còn Tier-2, gồm thanh toán điện tử và kết nối nhà cung ứng số, mãi đến năm 2023 mới có. Điều này dẫn đến nguy cơ đo lường không đầy đủ, đặc biệt là không nắm bắt được chiều sâu năng lực số ở các bối cảnh ICRV thấp.</w:t>
      </w:r>
    </w:p>
    <w:p>
      <w:pPr>
        <w:pStyle w:val="BodyText"/>
      </w:pPr>
      <w:r>
        <w:t xml:space="preserve">Quan trọng hơn, mọi thước đo DAI đều mang tính tĩnh, ở một thời điểm khảo sát, nên không thể nắm bắt tính động của việc cập nhật và tái cấu hình năng lực số theo thời gian. Nói cách khác, các phát hiện về DAI trong luận án phản ánh mức chấp nhận số tại một thời điểm, chứ không phải năng lực số động theo nghĩa của lý thuyết năng lực động (Teece et al., 1997).</w:t>
      </w:r>
    </w:p>
    <w:bookmarkEnd w:id="58"/>
    <w:bookmarkStart w:id="59" w:name="X9c6addda56cacda8a31e56c0f8a748c29f6b6eb"/>
    <w:p>
      <w:pPr>
        <w:pStyle w:val="Heading3"/>
      </w:pPr>
      <w:r>
        <w:t xml:space="preserve">Hạn chế về sai lệch chọn mẫu trong mẫu con doanh nghiệp xuất khẩu</w:t>
      </w:r>
    </w:p>
    <w:p>
      <w:pPr>
        <w:pStyle w:val="FirstParagraph"/>
      </w:pPr>
      <w:r>
        <w:t xml:space="preserve">Các phân tích chỉ dùng mẫu doanh nghiệp xuất khẩu, chẳng hạn Singapore với N = 237 hay đảo nhỏ Thái Bình Dương với N = 187 doanh nghiệp xuất khẩu, đều đối mặt với nguy cơ sai lệch chọn mẫu nghiêm trọng. Doanh nghiệp xuất khẩu không phải mẫu ngẫu nhiên rút từ tổng thể, mà thường là những đơn vị đã có sẵn một số lợi thế ban đầu về năng suất, nguồn lực hay quan hệ. Vì thế, kết quả từ mẫu chỉ gồm doanh nghiệp xuất khẩu không thể khái quát trực tiếp cho toàn bộ doanh nghiệp, và có thể ước lượng thấp hoặc cao hơn thực tế tùy theo chiều của sự chọn lọc.</w:t>
      </w:r>
    </w:p>
    <w:p>
      <w:pPr>
        <w:pStyle w:val="BodyText"/>
      </w:pPr>
      <w:r>
        <w:t xml:space="preserve">Phân tích Heckman hai bước, hay các mô hình hiệu ứng can thiệp, trong nghiên cứu tương lai có thể khắc phục phần nào hạn chế này, bằng cách mô hình hóa quá trình tham gia xuất khẩu như giai đoạn thứ nhất, trước khi ước lượng hiệu quả ở giai đoạn thứ hai.</w:t>
      </w:r>
    </w:p>
    <w:bookmarkEnd w:id="59"/>
    <w:bookmarkStart w:id="60" w:name="hạn-chế-về-suy-luận-nhân-quả"/>
    <w:p>
      <w:pPr>
        <w:pStyle w:val="Heading3"/>
      </w:pPr>
      <w:r>
        <w:t xml:space="preserve">Hạn chế về suy luận nhân quả</w:t>
      </w:r>
    </w:p>
    <w:p>
      <w:pPr>
        <w:pStyle w:val="FirstParagraph"/>
      </w:pPr>
      <w:r>
        <w:t xml:space="preserve">Thiết kế cắt ngang, hoặc dữ liệu bảng gộp nhưng WBES không phải dữ liệu bảng thực sự theo dõi cùng doanh nghiệp qua thời gian, làm hạn chế khả năng suy luận nhân quả. Quan hệ I-P có thể chịu ảnh hưởng của nhân quả ngược: doanh nghiệp hiệu quả hơn thường có nhiều nguồn lực hơn để quốc tế hóa, tạo nên chiều nhân quả ngược lại. Hiệu ứng cố định quốc gia và năm giúp kiểm soát một phần, nhưng chưa thể xử lý trọn vẹn vấn đề nội sinh.</w:t>
      </w:r>
    </w:p>
    <w:bookmarkEnd w:id="60"/>
    <w:bookmarkStart w:id="61" w:name="hướng-nghiên-cứu-tương-lai"/>
    <w:p>
      <w:pPr>
        <w:pStyle w:val="Heading3"/>
      </w:pPr>
      <w:r>
        <w:t xml:space="preserve">Hướng nghiên cứu tương lai</w:t>
      </w:r>
    </w:p>
    <w:p>
      <w:pPr>
        <w:pStyle w:val="FirstParagraph"/>
      </w:pPr>
      <w:r>
        <w:t xml:space="preserve">Từ các hạn chế trên, luận án đề xuất bốn hướng nghiên cứu ưu tiên.</w:t>
      </w:r>
    </w:p>
    <w:p>
      <w:pPr>
        <w:pStyle w:val="BodyText"/>
      </w:pPr>
      <w:r>
        <w:t xml:space="preserve">Trước hết, cần xây dựng thước đo DAI phong phú hơn, ở Tier-2 và Tier-3, dựa trên dữ liệu WBES mới nhất giai đoạn 2023-2026 cùng các nguồn bổ sung như chỉ số phát triển số của Liên minh Viễn thông Quốc tế hay báo cáo kinh tế số của OECD, nhằm kiểm định lại vai trò của DAI ở các bối cảnh ICRV thấp hơn.</w:t>
      </w:r>
    </w:p>
    <w:p>
      <w:pPr>
        <w:pStyle w:val="BodyText"/>
      </w:pPr>
      <w:r>
        <w:t xml:space="preserve">Hướng thứ hai là vận dụng các phương pháp nhận dạng nhân quả, gồm biến công cụ, chẳng hạn các cải cách thương mại ngoại sinh như việc ký kết hiệp định thương mại tự do, phương pháp khác biệt trong khác biệt, hay thiết kế hồi quy gián đoạn, để ước lượng tác động nhân quả của quốc tế hóa lên hiệu quả.</w:t>
      </w:r>
    </w:p>
    <w:p>
      <w:pPr>
        <w:pStyle w:val="BodyText"/>
      </w:pPr>
      <w:r>
        <w:t xml:space="preserve">Hướng thứ ba là mở rộng phân tích FIP tại các nền kinh tế đảo nhỏ, với công cụ đo lường tốt hơn và dữ liệu bảng thực sự theo dõi cùng doanh nghiệp qua nhiều năm, nhằm kiểm định xem FIP là trạng thái cấu trúc dài hạn hay chỉ là giai đoạn tạm thời khi doanh nghiệp đảo nhỏ mới bắt đầu xuất khẩu.</w:t>
      </w:r>
    </w:p>
    <w:p>
      <w:pPr>
        <w:pStyle w:val="BodyText"/>
      </w:pPr>
      <w:r>
        <w:t xml:space="preserve">Sau cùng, trong luận án này đặc điểm nhà quản trị cấp cao (H4, gồm kinh nghiệm, học vấn và giới tính) được đưa vào như khối kiểm soát quản trị nội sinh chứ không phải nhân tố điều tiết trọng tâm; một hướng nghiên cứu tương lai là tách riêng và kiểm định khả năng điều tiết theo bối cảnh của các đặc điểm này trong từng chế độ ICRV, nhất là ở nhóm cận biên và đảo nhỏ, nơi tầng năng lực và thể chế đều yếu hơn, để xem liệu chất lượng quản trị có bù đắp được phần nào cho những thiếu hụt ấy hay không.</w:t>
      </w:r>
    </w:p>
    <w:bookmarkEnd w:id="61"/>
    <w:bookmarkEnd w:id="62"/>
    <w:bookmarkStart w:id="67" w:name="kết-luận"/>
    <w:p>
      <w:pPr>
        <w:pStyle w:val="Heading2"/>
      </w:pPr>
      <w:r>
        <w:t xml:space="preserve">Kết luận</w:t>
      </w:r>
    </w:p>
    <w:bookmarkStart w:id="63" w:name="tổng-kết-tám-nghiên-cứu"/>
    <w:p>
      <w:pPr>
        <w:pStyle w:val="Heading3"/>
      </w:pPr>
      <w:r>
        <w:t xml:space="preserve">Tổng kết tám nghiên cứu</w:t>
      </w:r>
    </w:p>
    <w:p>
      <w:pPr>
        <w:pStyle w:val="FirstParagraph"/>
      </w:pPr>
      <w:r>
        <w:t xml:space="preserve">Luận án này được dựng trên tám nghiên cứu bổ sung cho nhau, kết hợp bằng chứng từ phân tích tổng hợp và phân tích thực nghiệm sơ cấp:</w:t>
      </w:r>
    </w:p>
    <w:p>
      <w:pPr>
        <w:numPr>
          <w:ilvl w:val="0"/>
          <w:numId w:val="1002"/>
        </w:numPr>
      </w:pPr>
      <w:r>
        <w:rPr>
          <w:bCs/>
          <w:b/>
        </w:rPr>
        <w:t xml:space="preserve">P1 và P2</w:t>
      </w:r>
      <w:r>
        <w:t xml:space="preserve"> </w:t>
      </w:r>
      <w:r>
        <w:t xml:space="preserve">(đã công bố, ICBEF 2024, Do &amp; Phan, 2024): thiết lập nền tảng phân tích tổng hợp với</w:t>
      </w:r>
      <w:r>
        <w:t xml:space="preserve"> </w:t>
      </w:r>
      <m:oMath>
        <m:r>
          <m:t>k</m:t>
        </m:r>
        <m:r>
          <m:rPr>
            <m:sty m:val="p"/>
          </m:rPr>
          <m:t>=</m:t>
        </m:r>
        <m:r>
          <m:t>113</m:t>
        </m:r>
      </m:oMath>
      <w:r>
        <w:t xml:space="preserve">,</w:t>
      </w:r>
      <w:r>
        <w:t xml:space="preserve"> </w:t>
      </w:r>
      <m:oMath>
        <m:r>
          <m:t>r</m:t>
        </m:r>
        <m:r>
          <m:rPr>
            <m:sty m:val="p"/>
          </m:rPr>
          <m:t>=</m:t>
        </m:r>
        <m:r>
          <m:t>0</m:t>
        </m:r>
        <m:r>
          <m:rPr>
            <m:sty m:val="p"/>
          </m:rPr>
          <m:t>,</m:t>
        </m:r>
        <m:r>
          <m:t>07</m:t>
        </m:r>
      </m:oMath>
      <w:r>
        <w:t xml:space="preserve">, xác nhận tác động dương nhỏ nhưng có ý nghĩa, và đặt nền cho khung CDCM.</w:t>
      </w:r>
    </w:p>
    <w:p>
      <w:pPr>
        <w:numPr>
          <w:ilvl w:val="0"/>
          <w:numId w:val="1002"/>
        </w:numPr>
      </w:pPr>
      <w:r>
        <w:rPr>
          <w:bCs/>
          <w:b/>
        </w:rPr>
        <w:t xml:space="preserve">phân tích Việt Nam</w:t>
      </w:r>
      <w:r>
        <w:t xml:space="preserve">: phân tích Việt Nam (chuyển đổi thu nhập trung bình thấp), xác nhận chữ U ngược với điểm uốn 39,3-46,2%, TCI là yếu tố điều tiết dương có ý nghĩa.</w:t>
      </w:r>
    </w:p>
    <w:p>
      <w:pPr>
        <w:numPr>
          <w:ilvl w:val="0"/>
          <w:numId w:val="1002"/>
        </w:numPr>
      </w:pPr>
      <w:r>
        <w:rPr>
          <w:bCs/>
          <w:b/>
        </w:rPr>
        <w:t xml:space="preserve">phân tích Singapore</w:t>
      </w:r>
      <w:r>
        <w:t xml:space="preserve">: phân tích Singapore (tiên tiến dẫn dắt bằng đổi mới), xác nhận chữ U ngược với điểm uốn khoảng 82% (khoảng tin cậy rộng), DAI khuếch đại ở mức FSTS cao.</w:t>
      </w:r>
    </w:p>
    <w:p>
      <w:pPr>
        <w:numPr>
          <w:ilvl w:val="0"/>
          <w:numId w:val="1002"/>
        </w:numPr>
      </w:pPr>
      <w:r>
        <w:rPr>
          <w:bCs/>
          <w:b/>
        </w:rPr>
        <w:t xml:space="preserve">phân tích Trung Quốc</w:t>
      </w:r>
      <w:r>
        <w:t xml:space="preserve">: phân tích Trung Quốc 2012-2024 (thu nhập trung bình cao), xác nhận chữ U ngược ổn định theo thời gian (điểm uốn khoảng 48,78%, Paternoster</w:t>
      </w:r>
      <w:r>
        <w:t xml:space="preserve"> </w:t>
      </w:r>
      <m:oMath>
        <m:r>
          <m:t>z</m:t>
        </m:r>
        <m:r>
          <m:rPr>
            <m:sty m:val="p"/>
          </m:rPr>
          <m:t>=</m:t>
        </m:r>
        <m:r>
          <m:t>0</m:t>
        </m:r>
        <m:r>
          <m:rPr>
            <m:sty m:val="p"/>
          </m:rPr>
          <m:t>,</m:t>
        </m:r>
        <m:r>
          <m:t>82</m:t>
        </m:r>
      </m:oMath>
      <w:r>
        <w:t xml:space="preserve">,</w:t>
      </w:r>
      <w:r>
        <w:t xml:space="preserve"> </w:t>
      </w:r>
      <m:oMath>
        <m:r>
          <m:t>p</m:t>
        </m:r>
        <m:r>
          <m:rPr>
            <m:sty m:val="p"/>
          </m:rPr>
          <m:t>=</m:t>
        </m:r>
        <m:r>
          <m:rPr>
            <m:sty m:val="p"/>
          </m:rPr>
          <m:t>,</m:t>
        </m:r>
        <m:r>
          <m:t>412</m:t>
        </m:r>
      </m:oMath>
      <w:r>
        <w:t xml:space="preserve">).</w:t>
      </w:r>
    </w:p>
    <w:p>
      <w:pPr>
        <w:numPr>
          <w:ilvl w:val="0"/>
          <w:numId w:val="1002"/>
        </w:numPr>
      </w:pPr>
      <w:r>
        <w:rPr>
          <w:bCs/>
          <w:b/>
        </w:rPr>
        <w:t xml:space="preserve">phân tích tổng hợp</w:t>
      </w:r>
      <w:r>
        <w:t xml:space="preserve">: phân tích tổng hợp ba tầng mở rộng</w:t>
      </w:r>
      <w:r>
        <w:t xml:space="preserve"> </w:t>
      </w:r>
      <m:oMath>
        <m:r>
          <m:t>k</m:t>
        </m:r>
        <m:r>
          <m:rPr>
            <m:sty m:val="p"/>
          </m:rPr>
          <m:t>=</m:t>
        </m:r>
        <m:r>
          <m:t>238</m:t>
        </m:r>
      </m:oMath>
      <w:r>
        <w:t xml:space="preserve">,</w:t>
      </w:r>
      <w:r>
        <w:t xml:space="preserve"> </w:t>
      </w:r>
      <m:oMath>
        <m:r>
          <m:t>r</m:t>
        </m:r>
        <m:r>
          <m:rPr>
            <m:sty m:val="p"/>
          </m:rPr>
          <m:t>=</m:t>
        </m:r>
        <m:r>
          <m:t>0</m:t>
        </m:r>
        <m:r>
          <m:rPr>
            <m:sty m:val="p"/>
          </m:rPr>
          <m:t>,</m:t>
        </m:r>
        <m:r>
          <m:t>074</m:t>
        </m:r>
      </m:oMath>
      <w:r>
        <w:t xml:space="preserve">,</w:t>
      </w:r>
      <w:r>
        <w:t xml:space="preserve"> </w:t>
      </w:r>
      <m:oMath>
        <m:sSup>
          <m:e>
            <m:r>
              <m:t>I</m:t>
            </m:r>
          </m:e>
          <m:sup>
            <m:r>
              <m:t>2</m:t>
            </m:r>
          </m:sup>
        </m:sSup>
        <m:r>
          <m:rPr>
            <m:sty m:val="p"/>
          </m:rPr>
          <m:t>=</m:t>
        </m:r>
        <m:r>
          <m:t>87</m:t>
        </m:r>
        <m:r>
          <m:rPr>
            <m:sty m:val="p"/>
          </m:rPr>
          <m:t>,</m:t>
        </m:r>
        <m:r>
          <m:t>8</m:t>
        </m:r>
        <m:r>
          <m:rPr>
            <m:sty m:val="p"/>
          </m:rPr>
          <m:t>%</m:t>
        </m:r>
      </m:oMath>
      <w:r>
        <w:t xml:space="preserve"> </w:t>
      </w:r>
      <w:r>
        <w:t xml:space="preserve">(76,1% ở tầng 2 và 11,8% ở tầng 3), điều tiết ICRV</w:t>
      </w:r>
      <w:r>
        <w:t xml:space="preserve"> </w:t>
      </w:r>
      <m:oMath>
        <m:sSub>
          <m:e>
            <m:r>
              <m:t>Q</m:t>
            </m:r>
          </m:e>
          <m:sub>
            <m:r>
              <m:t>M</m:t>
            </m:r>
          </m:sub>
        </m:sSub>
        <m:r>
          <m:rPr>
            <m:sty m:val="p"/>
          </m:rPr>
          <m:t>=</m:t>
        </m:r>
        <m:r>
          <m:t>17</m:t>
        </m:r>
        <m:r>
          <m:rPr>
            <m:sty m:val="p"/>
          </m:rPr>
          <m:t>,</m:t>
        </m:r>
        <m:sSup>
          <m:e>
            <m:r>
              <m:t>35</m:t>
            </m:r>
          </m:e>
          <m:sup>
            <m:r>
              <m:rPr>
                <m:sty m:val="p"/>
              </m:rPr>
              <m:t>*</m:t>
            </m:r>
            <m:r>
              <m:rPr>
                <m:sty m:val="p"/>
              </m:rPr>
              <m:t>*</m:t>
            </m:r>
          </m:sup>
        </m:sSup>
      </m:oMath>
      <w:r>
        <w:t xml:space="preserve"> </w:t>
      </w:r>
      <w:r>
        <w:t xml:space="preserve">(</w:t>
      </w:r>
      <m:oMath>
        <m:r>
          <m:t>d</m:t>
        </m:r>
        <m:r>
          <m:t>f</m:t>
        </m:r>
        <m:r>
          <m:rPr>
            <m:sty m:val="p"/>
          </m:rPr>
          <m:t>=</m:t>
        </m:r>
        <m:r>
          <m:t>4</m:t>
        </m:r>
      </m:oMath>
      <w:r>
        <w:t xml:space="preserve">,</w:t>
      </w:r>
      <w:r>
        <w:t xml:space="preserve"> </w:t>
      </w:r>
      <m:oMath>
        <m:r>
          <m:t>p</m:t>
        </m:r>
        <m:r>
          <m:rPr>
            <m:sty m:val="p"/>
          </m:rPr>
          <m:t>=</m:t>
        </m:r>
        <m:r>
          <m:rPr>
            <m:sty m:val="p"/>
          </m:rPr>
          <m:t>,</m:t>
        </m:r>
        <m:r>
          <m:t>002</m:t>
        </m:r>
      </m:oMath>
      <w:r>
        <w:t xml:space="preserve">).</w:t>
      </w:r>
    </w:p>
    <w:p>
      <w:pPr>
        <w:numPr>
          <w:ilvl w:val="0"/>
          <w:numId w:val="1002"/>
        </w:numPr>
      </w:pPr>
      <w:r>
        <w:rPr>
          <w:bCs/>
          <w:b/>
        </w:rPr>
        <w:t xml:space="preserve">phân tích đa quốc gia</w:t>
      </w:r>
      <w:r>
        <w:t xml:space="preserve">: kiểm định toàn mẫu châu Á và Thái Bình Dương với</w:t>
      </w:r>
      <w:r>
        <w:t xml:space="preserve"> </w:t>
      </w:r>
      <m:oMath>
        <m:r>
          <m:t>N</m:t>
        </m:r>
        <m:r>
          <m:rPr>
            <m:sty m:val="p"/>
          </m:rPr>
          <m:t>=</m:t>
        </m:r>
        <m:r>
          <m:t>82.302</m:t>
        </m:r>
      </m:oMath>
      <w:r>
        <w:t xml:space="preserve"> </w:t>
      </w:r>
      <w:r>
        <w:t xml:space="preserve">(M2) và</w:t>
      </w:r>
      <w:r>
        <w:t xml:space="preserve"> </w:t>
      </w:r>
      <m:oMath>
        <m:r>
          <m:t>N</m:t>
        </m:r>
        <m:r>
          <m:rPr>
            <m:sty m:val="p"/>
          </m:rPr>
          <m:t>=</m:t>
        </m:r>
        <m:r>
          <m:t>36.772</m:t>
        </m:r>
      </m:oMath>
      <w:r>
        <w:t xml:space="preserve"> </w:t>
      </w:r>
      <w:r>
        <w:t xml:space="preserve">(M3-M5 có đầy đủ biến kiểm soát), điểm uốn 34,1–39,5% (M2-M5; M11 đầy đủ: điểm uốn 25,7%,</w:t>
      </w:r>
      <w:r>
        <w:t xml:space="preserve"> </w:t>
      </w:r>
      <m:oMath>
        <m:sSub>
          <m:e>
            <m:r>
              <m:t>p</m:t>
            </m:r>
          </m:e>
          <m:sub>
            <m:r>
              <m:rPr>
                <m:nor/>
                <m:sty m:val="p"/>
              </m:rPr>
              <m:t>LM</m:t>
            </m:r>
          </m:sub>
        </m:sSub>
        <m:r>
          <m:rPr>
            <m:sty m:val="p"/>
          </m:rPr>
          <m:t>=</m:t>
        </m:r>
        <m:r>
          <m:rPr>
            <m:sty m:val="p"/>
          </m:rPr>
          <m:t>,</m:t>
        </m:r>
        <m:r>
          <m:t>026</m:t>
        </m:r>
      </m:oMath>
      <w:r>
        <w:t xml:space="preserve">); dải biến thiên ICRV được xác nhận mạnh mẽ, TCI nâng mặt bằng năng suất phổ quát, DAI điều tiết đường cong có ý nghĩa trên toàn mẫu và mạnh hơn ở thể chế yếu (DAI×ICRV</w:t>
      </w:r>
      <w:r>
        <w:t xml:space="preserve"> </w:t>
      </w:r>
      <m:oMath>
        <m:r>
          <m:t>p</m:t>
        </m:r>
        <m:r>
          <m:rPr>
            <m:sty m:val="p"/>
          </m:rPr>
          <m:t>=</m:t>
        </m:r>
        <m:r>
          <m:rPr>
            <m:sty m:val="p"/>
          </m:rPr>
          <m:t>,</m:t>
        </m:r>
        <m:r>
          <m:t>049</m:t>
        </m:r>
      </m:oMath>
      <w:r>
        <w:t xml:space="preserve">).</w:t>
      </w:r>
    </w:p>
    <w:p>
      <w:pPr>
        <w:numPr>
          <w:ilvl w:val="0"/>
          <w:numId w:val="1002"/>
        </w:numPr>
      </w:pPr>
      <w:r>
        <w:rPr>
          <w:bCs/>
          <w:b/>
        </w:rPr>
        <w:t xml:space="preserve">phân tích SIDS Thái Bình Dương</w:t>
      </w:r>
      <w:r>
        <w:t xml:space="preserve">: phân tích đảo nhỏ Thái Bình Dương,</w:t>
      </w:r>
      <w:r>
        <w:t xml:space="preserve"> </w:t>
      </w:r>
      <m:oMath>
        <m:r>
          <m:t>N</m:t>
        </m:r>
        <m:r>
          <m:rPr>
            <m:sty m:val="p"/>
          </m:rPr>
          <m:t>=</m:t>
        </m:r>
        <m:r>
          <m:t>1.469</m:t>
        </m:r>
      </m:oMath>
      <w:r>
        <w:t xml:space="preserve">,</w:t>
      </w:r>
      <w:r>
        <w:t xml:space="preserve"> </w:t>
      </w:r>
      <m:oMath>
        <m:r>
          <m:t>β</m:t>
        </m:r>
        <m:d>
          <m:dPr>
            <m:begChr m:val="("/>
            <m:endChr m:val=")"/>
            <m:sepChr m:val=""/>
            <m:grow/>
          </m:dPr>
          <m:e>
            <m:sSub>
              <m:e>
                <m:r>
                  <m:rPr>
                    <m:nor/>
                    <m:sty m:val="p"/>
                  </m:rPr>
                  <m:t>FSTS</m:t>
                </m:r>
              </m:e>
              <m:sub>
                <m:r>
                  <m:t>c</m:t>
                </m:r>
              </m:sub>
            </m:sSub>
          </m:e>
        </m:d>
        <m:r>
          <m:rPr>
            <m:sty m:val="p"/>
          </m:rPr>
          <m:t>=</m:t>
        </m:r>
        <m:r>
          <m:rPr>
            <m:sty m:val="p"/>
          </m:rPr>
          <m:t>−</m:t>
        </m:r>
        <m:r>
          <m:t>0</m:t>
        </m:r>
        <m:r>
          <m:rPr>
            <m:sty m:val="p"/>
          </m:rPr>
          <m:t>,</m:t>
        </m:r>
        <m:sSup>
          <m:e>
            <m:r>
              <m:t>404</m:t>
            </m:r>
          </m:e>
          <m:sup>
            <m:r>
              <m:rPr>
                <m:sty m:val="p"/>
              </m:rPr>
              <m:t>*</m:t>
            </m:r>
          </m:sup>
        </m:sSup>
      </m:oMath>
      <w:r>
        <w:t xml:space="preserve">, xác nhận FIP, quan hệ âm đơn điệu không có điểm uốn.</w:t>
      </w:r>
    </w:p>
    <w:bookmarkEnd w:id="63"/>
    <w:bookmarkStart w:id="64" w:name="phát-hiện-trung-tâm"/>
    <w:p>
      <w:pPr>
        <w:pStyle w:val="Heading3"/>
      </w:pPr>
      <w:r>
        <w:t xml:space="preserve">Phát hiện trung tâm</w:t>
      </w:r>
    </w:p>
    <w:p>
      <w:pPr>
        <w:pStyle w:val="FirstParagraph"/>
      </w:pPr>
      <w:r>
        <w:t xml:space="preserve">Phát hiện trung tâm của luận án có thể được tóm tắt trong một luận điểm ngắn gọn:</w:t>
      </w:r>
    </w:p>
    <w:p>
      <w:pPr>
        <w:pStyle w:val="BlockText"/>
      </w:pPr>
      <w:r>
        <w:rPr>
          <w:bCs/>
          <w:b/>
        </w:rPr>
        <w:t xml:space="preserve">“</w:t>
      </w:r>
      <w:r>
        <w:rPr>
          <w:bCs/>
          <w:b/>
        </w:rPr>
        <w:t xml:space="preserve">Không có một mức độ quốc tế hóa tối ưu duy nhất, điểm uốn phụ thuộc vào thể chế, và trong điều kiện thể chế cực yếu, quốc tế hóa có thể gây ra bất lợi hiệu quả thay vì lợi ích.</w:t>
      </w:r>
      <w:r>
        <w:rPr>
          <w:bCs/>
          <w:b/>
        </w:rPr>
        <w:t xml:space="preserve">”</w:t>
      </w:r>
    </w:p>
    <w:p>
      <w:pPr>
        <w:pStyle w:val="FirstParagraph"/>
      </w:pPr>
      <w:r>
        <w:t xml:space="preserve">Bằng chứng từ 238 nghiên cứu trong phân tích tổng hợp phân tích tổng hợp và 82.302 doanh nghiệp tại 45 nền kinh tế châu Á và Thái Bình Dương ở phân tích đa quốc gia đều dẫn về kết luận này. Quan hệ I-P không phải một đường cong phổ quát, mà là một</w:t>
      </w:r>
      <w:r>
        <w:t xml:space="preserve"> </w:t>
      </w:r>
      <w:r>
        <w:rPr>
          <w:bCs/>
          <w:b/>
        </w:rPr>
        <w:t xml:space="preserve">họ đường cong phụ thuộc bối cảnh</w:t>
      </w:r>
      <w:r>
        <w:t xml:space="preserve">, trong đó độ cong (concavity / biên độ) là một hàm số tăng dần theo mức độ suy giảm của chất lượng thể chế theo ICRV: thể chế càng yếu, hình chữ U ngược càng cong sâu và hình phạt sau đỉnh càng gay gắt, trong khi điểm uốn theo nhóm không đồng nhất và không dịch chuyển đơn điệu.</w:t>
      </w:r>
    </w:p>
    <w:bookmarkEnd w:id="64"/>
    <w:bookmarkStart w:id="65" w:name="ý-nghĩa-đối-với-lý-thuyết-và-thực-tiễn"/>
    <w:p>
      <w:pPr>
        <w:pStyle w:val="Heading3"/>
      </w:pPr>
      <w:r>
        <w:t xml:space="preserve">Ý nghĩa đối với lý thuyết và thực tiễn</w:t>
      </w:r>
    </w:p>
    <w:p>
      <w:pPr>
        <w:pStyle w:val="FirstParagraph"/>
      </w:pPr>
      <w:r>
        <w:t xml:space="preserve">Về lý thuyết, luận án đóng góp vào ba dòng nghiên cứu. Với dòng phân tích tổng hợp về quan hệ I-P, luận án phân tách cấu trúc dị biệt và cho thấy điều tiết thể chế trực tiếp ở cấp văn liệu là yếu/không bền vững, trong khi vai trò điều tiết của ICRV chỉ bộc lộ vững chắc ở cấp doanh nghiệp qua tương tác có điều kiện. Với dòng nghiên cứu về năng lực số, luận án làm rõ rằng DAI là nguồn lực tình huống chứ không phải năng lực nền tảng. Và với dòng nghiên cứu về quốc tế hóa và các nền kinh tế đảo nhỏ, luận án đặt tên cùng cung cấp bằng chứng đầu tiên cho FIP.</w:t>
      </w:r>
    </w:p>
    <w:p>
      <w:pPr>
        <w:pStyle w:val="BodyText"/>
      </w:pPr>
      <w:r>
        <w:t xml:space="preserve">Về thực tiễn, luận án tạo cơ sở để nhà hoạch định chính sách và nhà quản trị doanh nghiệp ở từng bối cảnh ICRV hiệu chỉnh chiến lược quốc tế hóa cho phù hợp. Bài học từ Singapore hay Nhật Bản không nên áp dụng máy móc vào bối cảnh Việt Nam hay các nền kinh tế đảo nhỏ; thay vào đó, sự phụ thuộc bối cảnh cần được nhìn nhận như một nguyên lý căn bản trong hoạch định chiến lược quốc tế hóa.</w:t>
      </w:r>
    </w:p>
    <w:bookmarkEnd w:id="65"/>
    <w:bookmarkStart w:id="66" w:name="lời-kết"/>
    <w:p>
      <w:pPr>
        <w:pStyle w:val="Heading3"/>
      </w:pPr>
      <w:r>
        <w:t xml:space="preserve">Lời kết</w:t>
      </w:r>
    </w:p>
    <w:p>
      <w:pPr>
        <w:pStyle w:val="FirstParagraph"/>
      </w:pPr>
      <w:r>
        <w:t xml:space="preserve">Luận án này khởi đầu từ một câu hỏi đơn giản: quốc tế hóa có cải thiện hiệu quả của doanh nghiệp không? Sau tám nghiên cứu và phân tích trên hàng chục ngàn doanh nghiệp ở gần năm mươi nền kinh tế, câu trả lời là:</w:t>
      </w:r>
      <w:r>
        <w:t xml:space="preserve"> </w:t>
      </w:r>
      <w:r>
        <w:rPr>
          <w:bCs/>
          <w:b/>
        </w:rPr>
        <w:t xml:space="preserve">có, thường là như vậy, nhưng không phải lúc nào, và không phải ở mọi nơi</w:t>
      </w:r>
      <w:r>
        <w:t xml:space="preserve">. Giới hạn của lợi ích là có thực, lại phụ thuộc vào bối cảnh thể chế; và ở các nền kinh tế đảo nhỏ, quốc tế hóa bắt buộc thậm chí có thể gây thiệt hại. Nhận thức rằng quan hệ I-P là quan hệ có điều kiện theo thể chế, chứ không phải quan hệ phổ quát, chính là đóng góp cốt lõi mà luận án mang lại cho khoa học quản trị kinh doanh quốc tế.</w:t>
      </w:r>
    </w:p>
    <w:bookmarkEnd w:id="66"/>
    <w:bookmarkEnd w:id="67"/>
    <w:bookmarkEnd w:id="68"/>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ind w:firstLine="567"/>
      <w:spacing w:line="360"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360"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360"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360"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360"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360"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360" w:lineRule="auto"/>
      <w:jc w:val="both"/>
    </w:pPr>
    <w:rPr>
      <w:rFonts w:ascii="Times New Roman" w:eastAsia="Times New Roman" w:hAnsi="Times New Roman"/>
      <w:color w:val="000000"/>
      <w:sz w:val="26"/>
    </w:rPr>
  </w:style>
  <w:style w:styleId="Date" w:type="paragraph">
    <w:name w:val="Date"/>
    <w:next w:val="BodyText"/>
    <w:qFormat/>
    <w:pPr>
      <w:keepNext/>
      <w:keepLines/>
      <w:spacing w:line="360"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360"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360"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360"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360" w:lineRule="auto"/>
      <w:jc w:val="center"/>
      <w:outlineLvl w:val="0"/>
    </w:pPr>
    <w:rPr>
      <w:rFonts w:ascii="Times New Roman" w:asciiTheme="majorHAnsi" w:cstheme="majorBidi" w:eastAsia="Times New Roman" w:eastAsiaTheme="majorEastAsia" w:hAnsi="Times New Roman" w:hAnsiTheme="majorHAnsi"/>
      <w:b/>
      <w:bCs/>
      <w:color w:val="000000"/>
      <w:sz w:val="32"/>
      <w:szCs w:val="32"/>
    </w:rPr>
  </w:style>
  <w:style w:styleId="Heading2" w:type="paragraph">
    <w:name w:val="Heading 2"/>
    <w:basedOn w:val="Normal"/>
    <w:next w:val="BodyText"/>
    <w:uiPriority w:val="9"/>
    <w:unhideWhenUsed/>
    <w:qFormat/>
    <w:pPr>
      <w:keepNext/>
      <w:keepLines/>
      <w:spacing w:after="0" w:before="200" w:line="360" w:lineRule="auto"/>
      <w:jc w:val="both"/>
      <w:outlineLvl w:val="1"/>
    </w:pPr>
    <w:rPr>
      <w:rFonts w:ascii="Times New Roman" w:asciiTheme="majorHAnsi" w:cstheme="majorBidi" w:eastAsia="Times New Roman" w:eastAsiaTheme="majorEastAsia" w:hAnsi="Times New Roman" w:hAnsiTheme="majorHAnsi"/>
      <w:b/>
      <w:bCs/>
      <w:color w:val="000000"/>
      <w:sz w:val="28"/>
      <w:szCs w:val="28"/>
    </w:rPr>
  </w:style>
  <w:style w:styleId="Heading3" w:type="paragraph">
    <w:name w:val="Heading 3"/>
    <w:basedOn w:val="Normal"/>
    <w:next w:val="BodyText"/>
    <w:uiPriority w:val="9"/>
    <w:unhideWhenUsed/>
    <w:qFormat/>
    <w:pPr>
      <w:keepNext/>
      <w:keepLines/>
      <w:spacing w:after="0" w:before="200" w:line="360"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360"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360"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360"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360"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360"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360"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360"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360"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360"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360" w:lineRule="auto"/>
      <w:jc w:val="both"/>
    </w:pPr>
    <w:rPr>
      <w:rFonts w:ascii="Times New Roman" w:eastAsia="Times New Roman" w:hAnsi="Times New Roman"/>
      <w:b/>
      <w:color w:val="000000"/>
      <w:sz w:val="26"/>
    </w:rPr>
  </w:style>
  <w:style w:customStyle="1" w:styleId="Definition" w:type="paragraph">
    <w:name w:val="Definition"/>
    <w:basedOn w:val="Normal"/>
    <w:pPr>
      <w:spacing w:line="360"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360"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360" w:lineRule="auto"/>
      <w:jc w:val="both"/>
    </w:pPr>
    <w:rPr>
      <w:rFonts w:ascii="Times New Roman" w:eastAsia="Times New Roman" w:hAnsi="Times New Roman"/>
      <w:color w:val="000000"/>
      <w:sz w:val="26"/>
    </w:rPr>
  </w:style>
  <w:style w:customStyle="1" w:styleId="ImageCaption" w:type="paragraph">
    <w:name w:val="Image Caption"/>
    <w:basedOn w:val="Caption"/>
    <w:pPr>
      <w:spacing w:line="360" w:lineRule="auto"/>
      <w:jc w:val="both"/>
    </w:pPr>
    <w:rPr>
      <w:rFonts w:ascii="Times New Roman" w:eastAsia="Times New Roman" w:hAnsi="Times New Roman"/>
      <w:color w:val="000000"/>
      <w:sz w:val="26"/>
    </w:rPr>
  </w:style>
  <w:style w:customStyle="1" w:styleId="Figure" w:type="paragraph">
    <w:name w:val="Figure"/>
    <w:basedOn w:val="Normal"/>
    <w:pPr>
      <w:spacing w:line="360"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360"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360"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2026-06-04T01:02:02Z</dcterms:created>
  <dcterms:modified xsi:type="dcterms:W3CDTF">2026-06-04T01:02:02Z</dcterms:modified>
</cp:coreProperties>
</file>

<file path=docProps/custom.xml><?xml version="1.0" encoding="utf-8"?>
<Properties xmlns="http://schemas.openxmlformats.org/officeDocument/2006/custom-properties" xmlns:vt="http://schemas.openxmlformats.org/officeDocument/2006/docPropsVTypes"/>
</file>