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25"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20"/>
    <w:bookmarkStart w:id="21"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21"/>
    <w:bookmarkStart w:id="22"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22"/>
    <w:bookmarkStart w:id="23"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23"/>
    <w:bookmarkStart w:id="24"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độc lập khái niệm và để rút ra hàm ý chính sách phân biệt được.</w:t>
      </w:r>
    </w:p>
    <w:p>
      <w:r>
        <w:pict>
          <v:rect style="width:0;height:1.5pt" o:hralign="center" o:hrstd="t" o:hr="t"/>
        </w:pict>
      </w:r>
    </w:p>
    <w:bookmarkEnd w:id="24"/>
    <w:bookmarkEnd w:id="25"/>
    <w:bookmarkStart w:id="31"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26"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26"/>
    <w:bookmarkStart w:id="27"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27"/>
    <w:bookmarkStart w:id="28"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28"/>
    <w:bookmarkStart w:id="29"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riêng phần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29"/>
    <w:bookmarkStart w:id="30"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30"/>
    <w:bookmarkEnd w:id="31"/>
    <w:bookmarkStart w:id="35"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32"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32"/>
    <w:bookmarkStart w:id="33"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and Indian Ocean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33"/>
    <w:bookmarkStart w:id="34"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34"/>
    <w:bookmarkEnd w:id="35"/>
    <w:bookmarkStart w:id="40"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36"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quốc tế hóa bắt buộc, biểu hiện thành quan hệ tuyến tính âm trong các nền kinh tế buộc phải quốc tế hóa do thị trường nội địa quá nhỏ; đây là dạng đặc thù của các quốc đảo nhỏ Thái Bình Dương, nơi doanh nghiệp phải xuất khẩu để tồn tại nhưng thiếu năng lực cạnh tranh (Briguglio, 1995; Bertram, 2006). Năm dạng hàm này thực chất sắp xếp dọc theo một trục đối lập giữa hai chế độ quốc tế hóa: ở một đầu là quốc tế hóa để mở rộng quy mô, nơi xuất khẩu tối ưu hóa lợi nhuận và đường cong còn dư địa sinh lợi đến cường độ cao; ở đầu kia là quốc tế hóa để sinh tồn, nơi xuất khẩu là bắt buộc và dạng phi tuyến quen thuộc sụp đổ thành âm đơn điệu. Dạng hàm thứ năm do đó không phải một ngoại lệ thứ yếu mà là cực biên làm lộ rõ các tiền đề cấu trúc mà bốn dạng còn lại ngầm giả định.</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36"/>
    <w:bookmarkStart w:id="37"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49 nền kinh tế trên toàn cầu (đa số thuộc châu Á – Thái Bình Dương). phân tích tổng hợp ước lượng tác động tổng hợp r = 0,074 (khoảng tin cậy 95%: 0,060; 0,088), với I² = 87,8%, tái lập và mở rộng mức cơ sở trước đó (r = 0,07, k = 113). Kiểm định khác biệt giữa các chế độ ICRV có ý nghĩa thống kê trên toàn mẫu (Q_M = 17,35, df = 4, p = 0,002) nhưng</w:t>
      </w:r>
      <w:r>
        <w:t xml:space="preserve"> </w:t>
      </w:r>
      <w:r>
        <w:rPr>
          <w:bCs/>
          <w:b/>
        </w:rPr>
        <w:t xml:space="preserve">không bền vững</w:t>
      </w:r>
      <w:r>
        <w:t xml:space="preserve">: kiểm định nhạy cảm bỏ ô Frontier (k = 3) đưa omnibus về không có ý nghĩa (Q_M = 1,49, p = 0,68), cho thấy ở cấp văn liệu điều tiết thể chế trực tiếp (chủ hiệu ứng phân nhóm) là yếu. Tính ngữ cảnh thể chế của quan hệ I-P do đó được luận án kiểm định mạnh hơn ở cấp doanh nghiệp qua tương tác có điều kiện (Chương 4), nơi vai trò điều tiết của chế độ thể chế bộc lộ vững chắc. phân tích tổng hợp cũng phát hiện thiên lệch xuất bản đáng kể qua sáu kiểm định bổ sung. Kiểm định Begg–Mazumdar (τ = −0,134, p &lt; 0,001) và mô hình lựa chọn ba tham số Vevea-Hedges (LRT χ² = 12,29, p = 0,002) đều xác nhận selection thực sự tồn tại. Về độ lớn điều chỉnh, ba phương pháp model-based bao quát hiệu ứng hiệu chỉnh trong khoảng r ∈ [0,035; 0,077]: trim-and-fill bổ khuyết 58 nghiên cứu thiếu cho r_adj = 0,035 (mức điều chỉnh mạnh nhất, có thể over-correct dưới dị biệt cao), PET-PEESE cho r_adj = 0,061, và mô hình lựa chọn Vevea-Hedges cho r_adj = 0,077 (bảo thủ nhất).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37"/>
    <w:bookmarkStart w:id="38"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cụ thể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38"/>
    <w:bookmarkStart w:id="39"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39"/>
    <w:bookmarkEnd w:id="40"/>
    <w:bookmarkStart w:id="52" w:name="khung-lý-thuyết-tích-hợp-của-luận-án"/>
    <w:p>
      <w:pPr>
        <w:pStyle w:val="Heading2"/>
      </w:pPr>
      <w:r>
        <w:t xml:space="preserve">2.5 Khung lý thuyết tích hợp của luận án</w:t>
      </w:r>
    </w:p>
    <w:p>
      <w:pPr>
        <w:pStyle w:val="FirstParagraph"/>
      </w:pPr>
      <w:r>
        <w:t xml:space="preserve">Các nền tảng lý thuyết trình bày ở các mục trước cho thấy mối quan hệ giữa quốc tế hóa và hiệu quả hoạt động không thể được giải thích đầy đủ nếu chỉ dựa riêng lẻ vào một lý thuyết đơn nhất. Mô hình Uppsala giúp lý giải động học mở rộng ra thị trường nước ngoài; quan điểm dựa trên nguồn lực (RBV) nhấn mạnh vai trò của năng lực doanh nghiệp; lý thuyết thể chế làm rõ tác động của môi trường quy tắc và khoảng trống thể chế đối với chi phí cũng như kết quả hoạt động; lý thuyết Bậc trên định vị vai trò định hình của nhà quản trị cấp cao. Tuy nhiên, khi đứng riêng lẻ, các cách tiếp cận này chưa giải thích đầy đủ một câu hỏi trung tâm của luận án:</w:t>
      </w:r>
      <w:r>
        <w:t xml:space="preserve"> </w:t>
      </w:r>
      <w:r>
        <w:rPr>
          <w:iCs/>
          <w:i/>
        </w:rPr>
        <w:t xml:space="preserve">trong điều kiện nào quốc tế hóa cải thiện, không cải thiện, hoặc làm suy giảm hiệu quả hoạt động khi năng lực doanh nghiệp và chất lượng thể chế không đồng pha (out of phase)?</w:t>
      </w:r>
    </w:p>
    <w:p>
      <w:pPr>
        <w:pStyle w:val="BodyText"/>
      </w:pPr>
      <w:r>
        <w:t xml:space="preserve">Xuất phát từ khoảng trống đó, luận án này phát triển một khung lý thuyết phân tầng gồm ba lớp có quan hệ nội tại với nhau. Ở lớp thứ nhất,</w:t>
      </w:r>
      <w:r>
        <w:t xml:space="preserve"> </w:t>
      </w:r>
      <w:r>
        <w:rPr>
          <w:bCs/>
          <w:b/>
        </w:rPr>
        <w:t xml:space="preserve">Lý thuyết Bất tương thích Năng lực – Thể chế (Capability-Institution Mismatch Theory, CIMT)</w:t>
      </w:r>
      <w:r>
        <w:t xml:space="preserve"> </w:t>
      </w:r>
      <w:r>
        <w:t xml:space="preserve">đóng vai trò là</w:t>
      </w:r>
      <w:r>
        <w:t xml:space="preserve"> </w:t>
      </w:r>
      <w:r>
        <w:rPr>
          <w:iCs/>
          <w:i/>
        </w:rPr>
        <w:t xml:space="preserve">cơ chế lý thuyết bao trùm</w:t>
      </w:r>
      <w:r>
        <w:t xml:space="preserve"> </w:t>
      </w:r>
      <w:r>
        <w:t xml:space="preserve">(umbrella mechanism), giải thích vì sao hiệu quả từ quốc tế hóa thay đổi khi năng lực doanh nghiệp và môi trường thể chế lệch pha nhau. Ở lớp thứ hai, khung</w:t>
      </w:r>
      <w:r>
        <w:t xml:space="preserve"> </w:t>
      </w:r>
      <w:r>
        <w:rPr>
          <w:bCs/>
          <w:b/>
        </w:rPr>
        <w:t xml:space="preserve">Biến thiên Chế độ Bối cảnh Thể chế (Institutional Context Regime Variation, ICRV)</w:t>
      </w:r>
      <w:r>
        <w:t xml:space="preserve"> </w:t>
      </w:r>
      <w:r>
        <w:t xml:space="preserve">cung cấp</w:t>
      </w:r>
      <w:r>
        <w:t xml:space="preserve"> </w:t>
      </w:r>
      <w:r>
        <w:rPr>
          <w:iCs/>
          <w:i/>
        </w:rPr>
        <w:t xml:space="preserve">công cụ phân loại</w:t>
      </w:r>
      <w:r>
        <w:t xml:space="preserve"> </w:t>
      </w:r>
      <w:r>
        <w:t xml:space="preserve">(regime taxonomy) các nhóm thể chế, qua đó cho phép so sánh sự khác biệt của quan hệ I-P giữa các nhóm bối cảnh. Ở lớp thứ ba,</w:t>
      </w:r>
      <w:r>
        <w:t xml:space="preserve"> </w:t>
      </w:r>
      <w:r>
        <w:rPr>
          <w:bCs/>
          <w:b/>
        </w:rPr>
        <w:t xml:space="preserve">Mô hình Năng lực số Phụ thuộc Bối cảnh (Context-Contingent Digital Capability Model, CDCM)</w:t>
      </w:r>
      <w:r>
        <w:t xml:space="preserve"> </w:t>
      </w:r>
      <w:r>
        <w:t xml:space="preserve">đóng vai trò</w:t>
      </w:r>
      <w:r>
        <w:t xml:space="preserve"> </w:t>
      </w:r>
      <w:r>
        <w:rPr>
          <w:iCs/>
          <w:i/>
        </w:rPr>
        <w:t xml:space="preserve">biểu hiện quan sát được</w:t>
      </w:r>
      <w:r>
        <w:t xml:space="preserve"> </w:t>
      </w:r>
      <w:r>
        <w:t xml:space="preserve">(observable signature) của mismatch trong điều kiện số hóa, đặc biệt qua vai trò điều kiện hoặc thay thế của năng lực số ở cấp doanh nghiệp. Việc xếp ba khung theo logic phân tầng này tránh tình trạng để chúng vận hành song song mà không rõ ranh giới, đồng thời cung cấp một trục giải thích thống nhất xuyên suốt portfolio nghiên cứu.</w:t>
      </w:r>
    </w:p>
    <w:bookmarkStart w:id="41" w:name="cimt-làm-cơ-chế-lý-thuyết-bao-trùm"/>
    <w:p>
      <w:pPr>
        <w:pStyle w:val="Heading3"/>
      </w:pPr>
      <w:r>
        <w:t xml:space="preserve">2.5.1 CIMT làm cơ chế lý thuyết bao trùm</w:t>
      </w:r>
    </w:p>
    <w:p>
      <w:pPr>
        <w:pStyle w:val="FirstParagraph"/>
      </w:pPr>
      <w:r>
        <w:t xml:space="preserve">Trong luận án này, CIMT được phát triển như một</w:t>
      </w:r>
      <w:r>
        <w:t xml:space="preserve"> </w:t>
      </w:r>
      <w:r>
        <w:rPr>
          <w:iCs/>
          <w:i/>
        </w:rPr>
        <w:t xml:space="preserve">cơ chế lý thuyết tầm trung</w:t>
      </w:r>
      <w:r>
        <w:t xml:space="preserve"> </w:t>
      </w:r>
      <w:r>
        <w:t xml:space="preserve">(middle-range mechanism, theo nghĩa của Merton, 1968) để giải thích vì sao cùng một mức độ quốc tế hóa có thể tạo ra hiệu quả rất khác nhau giữa các doanh nghiệp và giữa các bối cảnh thể chế. Cốt lõi của lập luận này là hiệu quả của quốc tế hóa không chỉ phụ thuộc vào mức độ doanh nghiệp tham gia thị trường nước ngoài, mà còn phụ thuộc vào mức độ</w:t>
      </w:r>
      <w:r>
        <w:t xml:space="preserve"> </w:t>
      </w:r>
      <w:r>
        <w:rPr>
          <w:iCs/>
          <w:i/>
        </w:rPr>
        <w:t xml:space="preserve">phù hợp hay lệch pha</w:t>
      </w:r>
      <w:r>
        <w:t xml:space="preserve"> </w:t>
      </w:r>
      <w:r>
        <w:t xml:space="preserve">giữa năng lực của doanh nghiệp với môi trường thể chế mà doanh nghiệp hoạt động và mở rộng vào đó. Khi năng lực doanh nghiệp và môi trường thể chế hỗ trợ lẫn nhau, lợi ích từ quốc tế hóa có khả năng được chuyển hóa thành hiệu quả hoạt động. Ngược lại, khi năng lực doanh nghiệp phải vận hành trong điều kiện thể chế yếu, phân mảnh hoặc không bảo vệ đầy đủ quyền lợi kinh tế, các chi phí phối hợp, chi phí thay thế quản trị và rủi ro khai thác kém hiệu quả có thể làm suy giảm hoặc triệt tiêu lợi ích tiềm năng từ quốc tế hóa.</w:t>
      </w:r>
    </w:p>
    <w:p>
      <w:pPr>
        <w:pStyle w:val="BodyText"/>
      </w:pPr>
      <w:r>
        <w:t xml:space="preserve">CIMT trong luận án này được cấu thành bởi ba cơ chế lõi, tất cả đều có nền tảng đã được khẳng định trong văn liệu IB kinh điển. Thứ nhất, cơ chế</w:t>
      </w:r>
      <w:r>
        <w:t xml:space="preserve"> </w:t>
      </w:r>
      <w:r>
        <w:rPr>
          <w:bCs/>
          <w:b/>
        </w:rPr>
        <w:t xml:space="preserve">rent protection</w:t>
      </w:r>
      <w:r>
        <w:t xml:space="preserve"> </w:t>
      </w:r>
      <w:r>
        <w:t xml:space="preserve">(Kogut &amp; Zander, 1993; Zaheer, 1995) cho rằng trong các bối cảnh thể chế mạnh hơn, doanh nghiệp có điều kiện tốt hơn để bảo vệ và khai thác lợi nhuận phát sinh từ năng lực riêng có, nhờ đó lợi ích từ quốc tế hóa dễ chuyển hóa thành kết quả hoạt động tích cực hơn. Thứ hai, cơ chế</w:t>
      </w:r>
      <w:r>
        <w:t xml:space="preserve"> </w:t>
      </w:r>
      <w:r>
        <w:rPr>
          <w:bCs/>
          <w:b/>
        </w:rPr>
        <w:t xml:space="preserve">suy giảm gánh nặng người nước ngoài (liability-of-foreignness attenuation)</w:t>
      </w:r>
      <w:r>
        <w:t xml:space="preserve"> </w:t>
      </w:r>
      <w:r>
        <w:t xml:space="preserve">(Zaheer, 1995; Peng et al., 2008) cho rằng môi trường thể chế minh bạch và ổn định giúp làm giảm một phần chi phí bất lợi mà doanh nghiệp phải đối mặt khi mở rộng ra nước ngoài, từ đó làm cho chi phí của quốc tế hóa tăng chậm hơn hoặc được hấp thụ tốt hơn. Thứ ba, cơ chế</w:t>
      </w:r>
      <w:r>
        <w:t xml:space="preserve"> </w:t>
      </w:r>
      <w:r>
        <w:rPr>
          <w:bCs/>
          <w:b/>
        </w:rPr>
        <w:t xml:space="preserve">khuếch đại khoảng trống thể chế (institutional-void amplification)</w:t>
      </w:r>
      <w:r>
        <w:t xml:space="preserve"> </w:t>
      </w:r>
      <w:r>
        <w:t xml:space="preserve">(Khanna &amp; Palepu, 1997, 2010) cho rằng trong các môi trường thể chế yếu, doanh nghiệp buộc phải dùng thêm các cơ chế thay thế như quan hệ, thích nghi phi chính thức hoặc năng lực bổ trợ để bù cho thiếu hụt thể chế; chính quá trình thay thế này có thể làm giảm hiệu quả biên của quốc tế hóa, hoặc khiến lợi ích từ quốc tế hóa chỉ phát sinh trong những điều kiện rất cụ thể.</w:t>
      </w:r>
    </w:p>
    <w:p>
      <w:pPr>
        <w:pStyle w:val="BodyText"/>
      </w:pPr>
      <w:r>
        <w:t xml:space="preserve">Cần nhấn mạnh hai điểm về vị thế lý thuyết của CIMT.</w:t>
      </w:r>
      <w:r>
        <w:t xml:space="preserve"> </w:t>
      </w:r>
      <w:r>
        <w:rPr>
          <w:iCs/>
          <w:i/>
        </w:rPr>
        <w:t xml:space="preserve">Thứ nhất</w:t>
      </w:r>
      <w:r>
        <w:t xml:space="preserve">, CIMT không được sử dụng như một</w:t>
      </w:r>
      <w:r>
        <w:t xml:space="preserve"> </w:t>
      </w:r>
      <w:r>
        <w:t xml:space="preserve">“</w:t>
      </w:r>
      <w:r>
        <w:t xml:space="preserve">lý thuyết kinh điển</w:t>
      </w:r>
      <w:r>
        <w:t xml:space="preserve">”</w:t>
      </w:r>
      <w:r>
        <w:t xml:space="preserve"> </w:t>
      </w:r>
      <w:r>
        <w:t xml:space="preserve">đã có sẵn trong văn liệu, mà được luận án này phát triển và đặt tên trong khuôn khổ một khung</w:t>
      </w:r>
      <w:r>
        <w:t xml:space="preserve"> </w:t>
      </w:r>
      <w:r>
        <w:rPr>
          <w:iCs/>
          <w:i/>
        </w:rPr>
        <w:t xml:space="preserve">tầm trung</w:t>
      </w:r>
      <w:r>
        <w:t xml:space="preserve"> </w:t>
      </w:r>
      <w:r>
        <w:t xml:space="preserve">(middle-range) (Merton, 1968) dựa trên việc tổng hợp các trực giác cốt lõi từ lý thuyết thể chế, quan điểm năng lực và nghiên cứu về số hóa doanh nghiệp. Cách tiếp cận này phù hợp với tiêu chuẩn của Whetten (1989) về cấu phần đóng góp lý thuyết (what / how / why / when–where–who) và tiêu chuẩn của Corley và Gioia (2011) về originality–utility: CIMT không tuyên bố thay thế RBV hay lý thuyết thể chế, mà nhằm giải thích một lớp hiện tượng cụ thể: sự dịch chuyển của tối ưu I-P khi năng lực và thể chế lệch pha trong các bối cảnh châu Á.</w:t>
      </w:r>
      <w:r>
        <w:t xml:space="preserve"> </w:t>
      </w:r>
      <w:r>
        <w:rPr>
          <w:iCs/>
          <w:i/>
        </w:rPr>
        <w:t xml:space="preserve">Thứ hai</w:t>
      </w:r>
      <w:r>
        <w:t xml:space="preserve">, ba cơ chế cấu thành CIMT đều là</w:t>
      </w:r>
      <w:r>
        <w:t xml:space="preserve"> </w:t>
      </w:r>
      <w:r>
        <w:rPr>
          <w:iCs/>
          <w:i/>
        </w:rPr>
        <w:t xml:space="preserve">các kênh đã được khẳng định</w:t>
      </w:r>
      <w:r>
        <w:t xml:space="preserve"> </w:t>
      </w:r>
      <w:r>
        <w:t xml:space="preserve">(established channels) trong văn liệu IB; đóng góp của CIMT là</w:t>
      </w:r>
      <w:r>
        <w:t xml:space="preserve"> </w:t>
      </w:r>
      <w:r>
        <w:rPr>
          <w:iCs/>
          <w:i/>
        </w:rPr>
        <w:t xml:space="preserve">tích hợp ba kênh này thành một cơ chế thống nhất, có thể kiểm định đồng thời</w:t>
      </w:r>
      <w:r>
        <w:t xml:space="preserve"> </w:t>
      </w:r>
      <w:r>
        <w:t xml:space="preserve">trên cùng một tập dữ liệu đa quốc gia với một taxonomy thể chế thích hợp (ICRV).</w:t>
      </w:r>
    </w:p>
    <w:bookmarkEnd w:id="41"/>
    <w:bookmarkStart w:id="42" w:name="Xcc197d9151d8b55d8eb1b701ed9b86d73941e5a"/>
    <w:p>
      <w:pPr>
        <w:pStyle w:val="Heading3"/>
      </w:pPr>
      <w:r>
        <w:t xml:space="preserve">2.5.2 ICRV làm công cụ phân loại bối cảnh thể chế</w:t>
      </w:r>
    </w:p>
    <w:p>
      <w:pPr>
        <w:pStyle w:val="FirstParagraph"/>
      </w:pPr>
      <w:r>
        <w:t xml:space="preserve">Nếu CIMT trả lời câu hỏi</w:t>
      </w:r>
      <w:r>
        <w:t xml:space="preserve"> </w:t>
      </w:r>
      <w:r>
        <w:rPr>
          <w:iCs/>
          <w:i/>
        </w:rPr>
        <w:t xml:space="preserve">vì sao</w:t>
      </w:r>
      <w:r>
        <w:t xml:space="preserve"> </w:t>
      </w:r>
      <w:r>
        <w:t xml:space="preserve">sự khác biệt về hiệu quả của quốc tế hóa xuất hiện, thì ICRV trả lời câu hỏi</w:t>
      </w:r>
      <w:r>
        <w:t xml:space="preserve"> </w:t>
      </w:r>
      <w:r>
        <w:rPr>
          <w:iCs/>
          <w:i/>
        </w:rPr>
        <w:t xml:space="preserve">sự khác biệt đó diễn ra trong những loại bối cảnh nào</w:t>
      </w:r>
      <w:r>
        <w:t xml:space="preserve">. Trong luận án này, ICRV được sử dụng như một taxonomy để phân loại các regime thể chế theo hai trục:</w:t>
      </w:r>
      <w:r>
        <w:t xml:space="preserve"> </w:t>
      </w:r>
      <w:r>
        <w:rPr>
          <w:iCs/>
          <w:i/>
        </w:rPr>
        <w:t xml:space="preserve">năng lực thể chế</w:t>
      </w:r>
      <w:r>
        <w:t xml:space="preserve"> </w:t>
      </w:r>
      <w:r>
        <w:t xml:space="preserve">(institutional capability, đo qua dải WGI Rule of Law) và</w:t>
      </w:r>
      <w:r>
        <w:t xml:space="preserve"> </w:t>
      </w:r>
      <w:r>
        <w:rPr>
          <w:iCs/>
          <w:i/>
        </w:rPr>
        <w:t xml:space="preserve">tính dễ tổn thương về nguồn lực</w:t>
      </w:r>
      <w:r>
        <w:t xml:space="preserve"> </w:t>
      </w:r>
      <w:r>
        <w:t xml:space="preserve">(resource vulnerability, đo qua chỉ số Briguglio 1995 cho các quốc đảo nhỏ), tạo cơ sở để so sánh sự dịch chuyển của mối quan hệ I-P giữa sáu nhóm bối cảnh khác nhau. Cách đặt ICRV ở vị trí</w:t>
      </w:r>
      <w:r>
        <w:t xml:space="preserve"> </w:t>
      </w:r>
      <w:r>
        <w:rPr>
          <w:iCs/>
          <w:i/>
        </w:rPr>
        <w:t xml:space="preserve">taxonomy</w:t>
      </w:r>
      <w:r>
        <w:t xml:space="preserve"> </w:t>
      </w:r>
      <w:r>
        <w:t xml:space="preserve">thay vì</w:t>
      </w:r>
      <w:r>
        <w:t xml:space="preserve"> </w:t>
      </w:r>
      <w:r>
        <w:rPr>
          <w:iCs/>
          <w:i/>
        </w:rPr>
        <w:t xml:space="preserve">theory song song</w:t>
      </w:r>
      <w:r>
        <w:t xml:space="preserve"> </w:t>
      </w:r>
      <w:r>
        <w:t xml:space="preserve">có ba ý nghĩa quan trọng: (i) giải quyết sự chồng lấn khái niệm giữa phần lý thuyết và phần kiểm định, xác định rõ ICRV là lớp phân loại bối cảnh chứ không phải một lý thuyết tách rời; (ii) cho phép giải thích nhất quán vì sao vị trí tối ưu của quốc tế hóa có thể dịch chuyển giữa các regime, thay vì giả định một dạng quan hệ đồng nhất cho mọi quốc gia; và (iii) tạo nền cho việc tích hợp các bằng chứng xuyên quốc gia trong portfolio (Singapore, Trung Quốc, Việt Nam, Ấn Độ, SIDS Thái Bình Dương) trong cùng một khung diễn giải. Chi tiết về sáu nhóm ICRV (Tiên tiến – đổi mới, Tiên tiến – tài nguyên, Thượng-trung, Hạ-trung &amp; chuyển đổi, Mới nổi, SIDS) đã được trình bày ở §2.3; ở §2.5 này ICRV được xác định lại như</w:t>
      </w:r>
      <w:r>
        <w:t xml:space="preserve"> </w:t>
      </w:r>
      <w:r>
        <w:rPr>
          <w:iCs/>
          <w:i/>
        </w:rPr>
        <w:t xml:space="preserve">taxonomy của bối cảnh mà CIMT vận hành</w:t>
      </w:r>
      <w:r>
        <w:t xml:space="preserve">.</w:t>
      </w:r>
    </w:p>
    <w:bookmarkEnd w:id="42"/>
    <w:bookmarkStart w:id="43" w:name="X4f7de3ca7c1db4517a73f19cef89eb69651f799"/>
    <w:p>
      <w:pPr>
        <w:pStyle w:val="Heading3"/>
      </w:pPr>
      <w:r>
        <w:t xml:space="preserve">2.5.3 CDCM làm biểu hiện quan sát được của mismatch trong điều kiện số hóa</w:t>
      </w:r>
    </w:p>
    <w:p>
      <w:pPr>
        <w:pStyle w:val="FirstParagraph"/>
      </w:pPr>
      <w:r>
        <w:t xml:space="preserve">Bằng chứng trong portfolio cho thấy năng lực số</w:t>
      </w:r>
      <w:r>
        <w:t xml:space="preserve"> </w:t>
      </w:r>
      <w:r>
        <w:rPr>
          <w:iCs/>
          <w:i/>
        </w:rPr>
        <w:t xml:space="preserve">không</w:t>
      </w:r>
      <w:r>
        <w:t xml:space="preserve"> </w:t>
      </w:r>
      <w:r>
        <w:t xml:space="preserve">vận hành như một premium đồng đều cho mọi doanh nghiệp và trong mọi bối cảnh. Tác động của năng lực số đối với mối quan hệ I-P có tính điều kiện, phụ thuộc vào cả cường độ quốc tế hóa lẫn cấu hình thể chế mà doanh nghiệp đối mặt. Vì vậy, trong luận án này, CDCM</w:t>
      </w:r>
      <w:r>
        <w:t xml:space="preserve"> </w:t>
      </w:r>
      <w:r>
        <w:rPr>
          <w:iCs/>
          <w:i/>
        </w:rPr>
        <w:t xml:space="preserve">không</w:t>
      </w:r>
      <w:r>
        <w:t xml:space="preserve"> </w:t>
      </w:r>
      <w:r>
        <w:t xml:space="preserve">được đặt như một theory ngang hàng với CIMT, mà được tái định vị là</w:t>
      </w:r>
      <w:r>
        <w:t xml:space="preserve"> </w:t>
      </w:r>
      <w:r>
        <w:rPr>
          <w:iCs/>
          <w:i/>
        </w:rPr>
        <w:t xml:space="preserve">biểu hiện thực nghiệm</w:t>
      </w:r>
      <w:r>
        <w:t xml:space="preserve"> </w:t>
      </w:r>
      <w:r>
        <w:t xml:space="preserve">(observable signature) ở cấp doanh nghiệp của logic mismatch được mô tả bởi CIMT, cụ thể là cơ chế</w:t>
      </w:r>
      <w:r>
        <w:t xml:space="preserve"> </w:t>
      </w:r>
      <w:r>
        <w:rPr>
          <w:iCs/>
          <w:i/>
        </w:rPr>
        <w:t xml:space="preserve">khuếch đại khoảng trống thể chế</w:t>
      </w:r>
      <w:r>
        <w:t xml:space="preserve"> </w:t>
      </w:r>
      <w:r>
        <w:t xml:space="preserve">dưới điều kiện số hóa. Theo cách hiểu này, CDCM phản ánh trường hợp mà năng lực số đóng vai trò như nguồn lực điều kiện hoặc nguồn lực thay thế: trong một số bối cảnh (thể chế mạnh, ICRV Nhóm I-II), năng lực số có thể khuếch đại hiệu quả của quốc tế hóa khi doanh nghiệp đã đạt tới mức tham gia quốc tế đủ cao; trong các bối cảnh khác (thể chế yếu hoặc nơi hạ tầng số công cộng thay thế một phần năng lực riêng của doanh nghiệp, ICRV Nhóm IV-VI), tác động khuếch đại có thể suy giảm, bão hòa, hoặc phản ánh cơ chế</w:t>
      </w:r>
      <w:r>
        <w:t xml:space="preserve"> </w:t>
      </w:r>
      <w:r>
        <w:rPr>
          <w:iCs/>
          <w:i/>
        </w:rPr>
        <w:t xml:space="preserve">thay thế</w:t>
      </w:r>
      <w:r>
        <w:t xml:space="preserve"> </w:t>
      </w:r>
      <w:r>
        <w:t xml:space="preserve">thay vì cơ chế</w:t>
      </w:r>
      <w:r>
        <w:t xml:space="preserve"> </w:t>
      </w:r>
      <w:r>
        <w:rPr>
          <w:iCs/>
          <w:i/>
        </w:rPr>
        <w:t xml:space="preserve">tăng cường</w:t>
      </w:r>
      <w:r>
        <w:t xml:space="preserve">. Phần bài báo capstone đa quốc gia (P7) trong portfolio cho thấy tương tác DAI × ICRV (β = +0,052, p = ,049, M11) là bằng chứng kinh tế lượng cho cơ chế thay thế số cho thể chế, chính là observable signature của CIMT mà luận án này dự đoán.</w:t>
      </w:r>
    </w:p>
    <w:p>
      <w:pPr>
        <w:pStyle w:val="BodyText"/>
      </w:pPr>
      <w:r>
        <w:t xml:space="preserve">Việc tái định vị CDCM theo cách này giải đáp một câu hỏi phản biện quan trọng: nếu CIMT đã giải thích digital substitution thì tại sao còn cần CDCM như một framework riêng? Câu trả lời là CDCM không phải là một framework riêng song song với CIMT, mà là</w:t>
      </w:r>
      <w:r>
        <w:t xml:space="preserve"> </w:t>
      </w:r>
      <w:r>
        <w:rPr>
          <w:iCs/>
          <w:i/>
        </w:rPr>
        <w:t xml:space="preserve">lớp operationalisation</w:t>
      </w:r>
      <w:r>
        <w:t xml:space="preserve"> </w:t>
      </w:r>
      <w:r>
        <w:t xml:space="preserve">của một phần cơ chế CIMT ở cấp doanh nghiệp với các biến số có thể đo lường được trong dữ liệu WBES. Nhờ vậy, phần số hóa trong luận án không còn đứng như một nhánh lý thuyết tách rời, mà trở thành bằng chứng thực nghiệm cho logic rộng hơn của capability–institution mismatch.</w:t>
      </w:r>
    </w:p>
    <w:bookmarkEnd w:id="43"/>
    <w:bookmarkStart w:id="44" w:name="Xb380230eaf444cd582e96b8601d628b6f6c7529"/>
    <w:p>
      <w:pPr>
        <w:pStyle w:val="Heading3"/>
      </w:pPr>
      <w:r>
        <w:t xml:space="preserve">2.5.4 Cấu trúc phân tầng và đường dẫn kiểm định</w:t>
      </w:r>
    </w:p>
    <w:p>
      <w:pPr>
        <w:pStyle w:val="FirstParagraph"/>
      </w:pPr>
      <w:r>
        <w:t xml:space="preserve">Từ các lập luận trên, luận án đề xuất một cấu trúc phân tầng gồm ba lớp có quan hệ nội tại với nhau và một logic kiểm định tương ứng.</w:t>
      </w:r>
    </w:p>
    <w:p>
      <w:pPr>
        <w:pStyle w:val="BodyText"/>
      </w:pPr>
      <w:r>
        <w:rPr>
          <w:bCs/>
          <w:b/>
        </w:rPr>
        <w:t xml:space="preserve">Bảng 2.2a.</w:t>
      </w:r>
      <w:r>
        <w:t xml:space="preserve"> </w:t>
      </w:r>
      <w:r>
        <w:rPr>
          <w:iCs/>
          <w:i/>
        </w:rPr>
        <w:t xml:space="preserve">Cấu trúc phân tầng của khung lý thuyết tích hợp.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Lớp</w:t>
            </w:r>
          </w:p>
        </w:tc>
        <w:tc>
          <w:tcPr/>
          <w:p>
            <w:pPr>
              <w:pStyle w:val="Compact"/>
              <w:jc w:val="left"/>
            </w:pPr>
            <w:r>
              <w:t xml:space="preserve">Khung</w:t>
            </w:r>
          </w:p>
        </w:tc>
        <w:tc>
          <w:tcPr/>
          <w:p>
            <w:pPr>
              <w:pStyle w:val="Compact"/>
              <w:jc w:val="left"/>
            </w:pPr>
            <w:r>
              <w:t xml:space="preserve">Vai trò</w:t>
            </w:r>
          </w:p>
        </w:tc>
        <w:tc>
          <w:tcPr/>
          <w:p>
            <w:pPr>
              <w:pStyle w:val="Compact"/>
              <w:jc w:val="left"/>
            </w:pPr>
            <w:r>
              <w:t xml:space="preserve">Trả lời câu hỏi</w:t>
            </w:r>
          </w:p>
        </w:tc>
        <w:tc>
          <w:tcPr/>
          <w:p>
            <w:pPr>
              <w:pStyle w:val="Compact"/>
              <w:jc w:val="left"/>
            </w:pPr>
            <w:r>
              <w:t xml:space="preserve">Kiểm định trong portfolio</w:t>
            </w:r>
          </w:p>
        </w:tc>
      </w:tr>
      <w:tr>
        <w:tc>
          <w:tcPr/>
          <w:p>
            <w:pPr>
              <w:pStyle w:val="Compact"/>
              <w:jc w:val="left"/>
            </w:pPr>
            <w:r>
              <w:t xml:space="preserve">Cơ chế</w:t>
            </w:r>
          </w:p>
        </w:tc>
        <w:tc>
          <w:tcPr/>
          <w:p>
            <w:pPr>
              <w:pStyle w:val="Compact"/>
              <w:jc w:val="left"/>
            </w:pPr>
            <w:r>
              <w:rPr>
                <w:bCs/>
                <w:b/>
              </w:rPr>
              <w:t xml:space="preserve">CIMT</w:t>
            </w:r>
          </w:p>
        </w:tc>
        <w:tc>
          <w:tcPr/>
          <w:p>
            <w:pPr>
              <w:pStyle w:val="Compact"/>
              <w:jc w:val="left"/>
            </w:pPr>
            <w:r>
              <w:t xml:space="preserve">Cơ chế lý thuyết bao trùm (middle-range)</w:t>
            </w:r>
          </w:p>
        </w:tc>
        <w:tc>
          <w:tcPr/>
          <w:p>
            <w:pPr>
              <w:pStyle w:val="Compact"/>
              <w:jc w:val="left"/>
            </w:pPr>
            <w:r>
              <w:rPr>
                <w:iCs/>
                <w:i/>
              </w:rPr>
              <w:t xml:space="preserve">Vì sao</w:t>
            </w:r>
            <w:r>
              <w:t xml:space="preserve"> </w:t>
            </w:r>
            <w:r>
              <w:t xml:space="preserve">hiệu quả I-P thay đổi khi capability ↔ institution lệch pha</w:t>
            </w:r>
          </w:p>
        </w:tc>
        <w:tc>
          <w:tcPr/>
          <w:p>
            <w:pPr>
              <w:pStyle w:val="Compact"/>
              <w:jc w:val="left"/>
            </w:pPr>
            <w:r>
              <w:t xml:space="preserve">P6 meta-analysis (giữa các nghiên cứu); P7 capstone (giữa các doanh nghiệp × regime)</w:t>
            </w:r>
          </w:p>
        </w:tc>
      </w:tr>
      <w:tr>
        <w:tc>
          <w:tcPr/>
          <w:p>
            <w:pPr>
              <w:pStyle w:val="Compact"/>
              <w:jc w:val="left"/>
            </w:pPr>
            <w:r>
              <w:t xml:space="preserve">Taxonomy</w:t>
            </w:r>
          </w:p>
        </w:tc>
        <w:tc>
          <w:tcPr/>
          <w:p>
            <w:pPr>
              <w:pStyle w:val="Compact"/>
              <w:jc w:val="left"/>
            </w:pPr>
            <w:r>
              <w:rPr>
                <w:bCs/>
                <w:b/>
              </w:rPr>
              <w:t xml:space="preserve">ICRV</w:t>
            </w:r>
          </w:p>
        </w:tc>
        <w:tc>
          <w:tcPr/>
          <w:p>
            <w:pPr>
              <w:pStyle w:val="Compact"/>
              <w:jc w:val="left"/>
            </w:pPr>
            <w:r>
              <w:t xml:space="preserve">Phân loại bối cảnh thể chế (6 nhóm × 2 trục)</w:t>
            </w:r>
          </w:p>
        </w:tc>
        <w:tc>
          <w:tcPr/>
          <w:p>
            <w:pPr>
              <w:pStyle w:val="Compact"/>
              <w:jc w:val="left"/>
            </w:pPr>
            <w:r>
              <w:rPr>
                <w:iCs/>
                <w:i/>
              </w:rPr>
              <w:t xml:space="preserve">Ở đâu</w:t>
            </w:r>
            <w:r>
              <w:t xml:space="preserve"> </w:t>
            </w:r>
            <w:r>
              <w:t xml:space="preserve">mismatch xảy ra mạnh/yếu</w:t>
            </w:r>
          </w:p>
        </w:tc>
        <w:tc>
          <w:tcPr/>
          <w:p>
            <w:pPr>
              <w:pStyle w:val="Compact"/>
              <w:jc w:val="left"/>
            </w:pPr>
            <w:r>
              <w:t xml:space="preserve">P6 §3 + P7 §3 phân loại 45 nền kinh tế; H5 kiểm định regime moderation</w:t>
            </w:r>
          </w:p>
        </w:tc>
      </w:tr>
      <w:tr>
        <w:tc>
          <w:tcPr/>
          <w:p>
            <w:pPr>
              <w:pStyle w:val="Compact"/>
              <w:jc w:val="left"/>
            </w:pPr>
            <w:r>
              <w:t xml:space="preserve">Signature</w:t>
            </w:r>
          </w:p>
        </w:tc>
        <w:tc>
          <w:tcPr/>
          <w:p>
            <w:pPr>
              <w:pStyle w:val="Compact"/>
              <w:jc w:val="left"/>
            </w:pPr>
            <w:r>
              <w:rPr>
                <w:bCs/>
                <w:b/>
              </w:rPr>
              <w:t xml:space="preserve">CDCM</w:t>
            </w:r>
          </w:p>
        </w:tc>
        <w:tc>
          <w:tcPr/>
          <w:p>
            <w:pPr>
              <w:pStyle w:val="Compact"/>
              <w:jc w:val="left"/>
            </w:pPr>
            <w:r>
              <w:t xml:space="preserve">Biểu hiện thực nghiệm dưới điều kiện số hóa</w:t>
            </w:r>
          </w:p>
        </w:tc>
        <w:tc>
          <w:tcPr/>
          <w:p>
            <w:pPr>
              <w:pStyle w:val="Compact"/>
              <w:jc w:val="left"/>
            </w:pPr>
            <w:r>
              <w:rPr>
                <w:iCs/>
                <w:i/>
              </w:rPr>
              <w:t xml:space="preserve">Bằng chứng cấp doanh nghiệp</w:t>
            </w:r>
            <w:r>
              <w:t xml:space="preserve"> </w:t>
            </w:r>
            <w:r>
              <w:t xml:space="preserve">cho mechanism + taxonomy</w:t>
            </w:r>
          </w:p>
        </w:tc>
        <w:tc>
          <w:tcPr/>
          <w:p>
            <w:pPr>
              <w:pStyle w:val="Compact"/>
              <w:jc w:val="left"/>
            </w:pPr>
            <w:r>
              <w:t xml:space="preserve">P3 (Việt Nam), P4 (Singapore), P5 (Trung Quốc), P9’ (Ấn Độ) operationalise CDCM trong từng regime; P7 M11 tương tác DAI × ICRV</w:t>
            </w:r>
          </w:p>
        </w:tc>
      </w:tr>
    </w:tbl>
    <w:p>
      <w:pPr>
        <w:pStyle w:val="BodyText"/>
      </w:pPr>
      <w:r>
        <w:t xml:space="preserve">Cấu trúc này cho phép thống nhất các bằng chứng thực nghiệm trong luận án thành một logic chung. Các nghiên cứu theo từng quốc gia (P3 Việt Nam, P4 Singapore, P5 Trung Quốc, P9’ Ấn Độ) cung cấp bằng chứng về cách cơ chế mismatch vận hành trong từng cấu hình cụ thể; nghiên cứu đa quốc gia (P7 capstone) cho phép kiểm định sự dịch chuyển của optimum qua các regime ICRV; nghiên cứu phân tích tổng hợp (P6) đánh giá mức độ ổn định và thiên lệch công bố của mối quan hệ tổng quát trong văn liệu hiện có; và nghiên cứu điều kiện biên (P8 SIDS) kiểm định trường hợp cực đoan khi mismatch cực mạnh chuyển chữ U ngược thành quan hệ âm đơn điệu. Do đó, thay vì xem các paper trong portfolio là các nghiên cứu rời rạc, luận án này xem chúng như các lớp bằng chứng bổ sung kiểm định cùng một khung giải thích tích hợp CIMT-ICRV-CDCM.</w:t>
      </w:r>
    </w:p>
    <w:p>
      <w:pPr>
        <w:pStyle w:val="BodyText"/>
      </w:pPr>
      <w:r>
        <w:t xml:space="preserve">Trên cơ sở khung lý thuyết phân tầng này, các mục tiếp theo trình bày khoảng trống nghiên cứu cụ thể (§2.5.5), mô hình khái niệm (§2.5.6), hệ giả thuyết H1-H6 (§2.5.7), và kết nối khoảng trống với chương trình kiểm định (§2.5.8).</w:t>
      </w:r>
    </w:p>
    <w:bookmarkEnd w:id="44"/>
    <w:bookmarkStart w:id="45" w:name="các-khoảng-trống-nghiên-cứu"/>
    <w:p>
      <w:pPr>
        <w:pStyle w:val="Heading3"/>
      </w:pPr>
      <w:r>
        <w:t xml:space="preserve">2.5.5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và chính là động lực để luận án xây dựng khung phân tầng đã trình bày ở §2.5.1–2.5.4. Khung CIMT (cơ chế bao trùm) trả lời khoảng trống thứ nhất bằng cách tích hợp ba kênh đã được khẳng định (rent protection, LoF attenuation, institutional-void amplification) thành một mechanism duy nhất có thể kiểm định đồng thời. Khung ICRV (taxonomy thể chế) trả lời khoảng trống thứ ba bằng cách cung cấp một bản đồ phân loại 45 nền kinh tế châu Á – Thái Bình Dương theo hai trục năng lực thể chế và tính dễ tổn thương, bao phủ toàn bộ dải biến thiên ICRV. Khung CDCM (observable signature) trả lời khoảng trống thứ hai bằng cách tách bạch TCI (chiều sâu năng lực công nghệ, kế thừa Bhandari et al., 2023) khỏi DAI (chấp nhận công cụ số bề mặt, kế thừa Verhoef et al., 2021) ở cấp doanh nghiệp, làm cho mismatch dưới điều kiện số hóa trở thành đại lượng có thể quan sát và kiểm định. Trong khung tích hợp này, FSTS là biến độc lập chính và năng suất lao động là biến phụ thuộc; đặc điểm nhà quản trị ở tầng cá nhân được đưa vào như khối kiểm soát quản trị nội sinh (kế thừa Hambrick &amp; Mason, 1984), không phải một tầng điều tiết trọng tâm.</w:t>
      </w:r>
    </w:p>
    <w:bookmarkEnd w:id="45"/>
    <w:bookmarkStart w:id="49" w:name="mô-hình-khái-niệm"/>
    <w:p>
      <w:pPr>
        <w:pStyle w:val="Heading3"/>
      </w:pPr>
      <w:r>
        <w:t xml:space="preserve">2.5.6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riêng phần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p>
      <w:pPr>
        <w:pStyle w:val="CaptionedFigure"/>
      </w:pPr>
      <w:r>
        <w:drawing>
          <wp:inline>
            <wp:extent cx="5753100" cy="3451860"/>
            <wp:effectExtent b="0" l="0" r="0" t="0"/>
            <wp:docPr descr="Hình 2.1: Mô hình khái niệm thống nhất - khung phân tầng CIMT-ICRV-CDCM" title="" id="47" name="Picture"/>
            <a:graphic>
              <a:graphicData uri="http://schemas.openxmlformats.org/drawingml/2006/picture">
                <pic:pic>
                  <pic:nvPicPr>
                    <pic:cNvPr descr="figures/figure_conceptual_model_cimt_layered.png" id="48" name="Picture"/>
                    <pic:cNvPicPr>
                      <a:picLocks noChangeArrowheads="1" noChangeAspect="1"/>
                    </pic:cNvPicPr>
                  </pic:nvPicPr>
                  <pic:blipFill>
                    <a:blip r:embed="rId46"/>
                    <a:stretch>
                      <a:fillRect/>
                    </a:stretch>
                  </pic:blipFill>
                  <pic:spPr bwMode="auto">
                    <a:xfrm>
                      <a:off x="0" y="0"/>
                      <a:ext cx="5753100" cy="3451860"/>
                    </a:xfrm>
                    <a:prstGeom prst="rect">
                      <a:avLst/>
                    </a:prstGeom>
                    <a:noFill/>
                    <a:ln w="9525">
                      <a:noFill/>
                      <a:headEnd/>
                      <a:tailEnd/>
                    </a:ln>
                  </pic:spPr>
                </pic:pic>
              </a:graphicData>
            </a:graphic>
          </wp:inline>
        </w:drawing>
      </w:r>
    </w:p>
    <w:p>
      <w:pPr>
        <w:pStyle w:val="ImageCaption"/>
      </w:pPr>
      <w:r>
        <w:t xml:space="preserve">Hình 2.1: Mô hình khái niệm thống nhất - khung phân tầng CIMT-ICRV-CDCM</w:t>
      </w:r>
    </w:p>
    <w:p>
      <w:pPr>
        <w:pStyle w:val="BodyText"/>
      </w:pPr>
      <w:r>
        <w:rPr>
          <w:iCs/>
          <w:i/>
        </w:rPr>
        <w:t xml:space="preserve">Hình 2.1.</w:t>
      </w:r>
      <w:r>
        <w:t xml:space="preserve"> </w:t>
      </w:r>
      <w:r>
        <w:t xml:space="preserve">Mô hình khái niệm thống nhất — Quốc tế hóa và Hiệu quả doanh nghiệp dưới khung phân tầng CIMT–ICRV–CDCM.</w:t>
      </w:r>
      <w:r>
        <w:t xml:space="preserve"> </w:t>
      </w:r>
      <w:r>
        <w:rPr>
          <w:bCs/>
          <w:b/>
        </w:rPr>
        <w:t xml:space="preserve">CIMT</w:t>
      </w:r>
      <w:r>
        <w:t xml:space="preserve"> </w:t>
      </w:r>
      <w:r>
        <w:t xml:space="preserve">vận hành như cơ chế bao trùm với ba kênh (rent protection, LoF attenuation, institutional-void amplification);</w:t>
      </w:r>
      <w:r>
        <w:t xml:space="preserve"> </w:t>
      </w:r>
      <w:r>
        <w:rPr>
          <w:bCs/>
          <w:b/>
        </w:rPr>
        <w:t xml:space="preserve">ICRV</w:t>
      </w:r>
      <w:r>
        <w:t xml:space="preserve"> </w:t>
      </w:r>
      <w:r>
        <w:t xml:space="preserve">là taxonomy thể chế đo qua hai trục (institutional capability × resource vulnerability);</w:t>
      </w:r>
      <w:r>
        <w:t xml:space="preserve"> </w:t>
      </w:r>
      <w:r>
        <w:rPr>
          <w:bCs/>
          <w:b/>
        </w:rPr>
        <w:t xml:space="preserve">CDCM</w:t>
      </w:r>
      <w:r>
        <w:t xml:space="preserve"> </w:t>
      </w:r>
      <w:r>
        <w:t xml:space="preserve">là biểu hiện thực nghiệm cấp doanh nghiệp dưới điều kiện số hóa. Hình chữ nhật biểu thị biến quan sát được; hình ellipse biểu thị cấu trúc tiềm ẩn (TCI, ICRV, DAI). H1a (+) và H1b (−) xác định quan hệ phi tuyến chữ U ngược (điểm uốn ≈ 36%; điều kiện biên H1b: SIDS/FIP âm đơn điệu). H2 năng lực công nghệ TCI nâng mặt bằng hiệu quả (level-shift). H3 DAI tái định hình đường cong phụ thuộc bối cảnh. H5 ICRV chi phối độ cong/biên độ trong môi trường thể chế yếu (operationalise cơ chế institutional-void amplification của CIMT). Mũi tên hai chiều đứt nét biểu thị thay thế số–thể chế (DAI×ICRV,</w:t>
      </w:r>
      <w:r>
        <w:t xml:space="preserve"> </w:t>
      </w:r>
      <m:oMath>
        <m:r>
          <m:t>p</m:t>
        </m:r>
      </m:oMath>
      <w:r>
        <w:t xml:space="preserve"> </w:t>
      </w:r>
      <w:r>
        <w:t xml:space="preserve">=,049) —</w:t>
      </w:r>
      <w:r>
        <w:t xml:space="preserve"> </w:t>
      </w:r>
      <w:r>
        <w:rPr>
          <w:iCs/>
          <w:i/>
        </w:rPr>
        <w:t xml:space="preserve">observable signature</w:t>
      </w:r>
      <w:r>
        <w:t xml:space="preserve"> </w:t>
      </w:r>
      <w:r>
        <w:t xml:space="preserve">của CIMT mà CDCM dự đoán. Kiểm soát Bậc trên (H4) đặc điểm nhà quản trị đưa vào như biến kiểm soát quản trị nội sinh.</w:t>
      </w:r>
      <w:r>
        <w:t xml:space="preserve"> </w:t>
      </w:r>
      <w:r>
        <w:rPr>
          <w:iCs/>
          <w:i/>
        </w:rPr>
        <w:t xml:space="preserve">Nguồn: tác giả tự xây dựng.</w:t>
      </w:r>
    </w:p>
    <w:bookmarkEnd w:id="49"/>
    <w:bookmarkStart w:id="50" w:name="hệ-giả-thuyết-h1-h6"/>
    <w:p>
      <w:pPr>
        <w:pStyle w:val="Heading3"/>
      </w:pPr>
      <w:r>
        <w:t xml:space="preserve">2.5.7 Hệ giả thuyết H1-H6</w:t>
      </w:r>
    </w:p>
    <w:p>
      <w:pPr>
        <w:pStyle w:val="FirstParagraph"/>
      </w:pPr>
      <w:r>
        <w:t xml:space="preserve">Trên nền tảng khung phân tầng CIMT–ICRV–CDCM (§2.5.1–2.5.4), luận án phát triển sáu giả thuyết chính cùng một điều kiện biên. H1 và H1b kiểm định</w:t>
      </w:r>
      <w:r>
        <w:t xml:space="preserve"> </w:t>
      </w:r>
      <w:r>
        <w:rPr>
          <w:iCs/>
          <w:i/>
        </w:rPr>
        <w:t xml:space="preserve">form</w:t>
      </w:r>
      <w:r>
        <w:t xml:space="preserve"> </w:t>
      </w:r>
      <w:r>
        <w:t xml:space="preserve">phổ quát của chữ U ngược và điều kiện biên SIDS — tức là</w:t>
      </w:r>
      <w:r>
        <w:t xml:space="preserve"> </w:t>
      </w:r>
      <w:r>
        <w:rPr>
          <w:iCs/>
          <w:i/>
        </w:rPr>
        <w:t xml:space="preserve">signature đầu tiên</w:t>
      </w:r>
      <w:r>
        <w:t xml:space="preserve"> </w:t>
      </w:r>
      <w:r>
        <w:t xml:space="preserve">mà CIMT dự đoán: optimum tồn tại nhưng dịch chuyển/sụp đổ theo capability–institution match. H2 và H4 kiểm định các</w:t>
      </w:r>
      <w:r>
        <w:t xml:space="preserve"> </w:t>
      </w:r>
      <w:r>
        <w:rPr>
          <w:iCs/>
          <w:i/>
        </w:rPr>
        <w:t xml:space="preserve">level shifters</w:t>
      </w:r>
      <w:r>
        <w:t xml:space="preserve"> </w:t>
      </w:r>
      <w:r>
        <w:t xml:space="preserve">(TCI, đặc điểm nhà quản trị) — các nguồn lực giảm tổng chi phí mismatch nhưng không định hình lại độ cong. H3 (DAI) và H5 (ICRV) kiểm định các</w:t>
      </w:r>
      <w:r>
        <w:t xml:space="preserve"> </w:t>
      </w:r>
      <w:r>
        <w:rPr>
          <w:iCs/>
          <w:i/>
        </w:rPr>
        <w:t xml:space="preserve">curve relocators</w:t>
      </w:r>
      <w:r>
        <w:t xml:space="preserve"> </w:t>
      </w:r>
      <w:r>
        <w:t xml:space="preserve">— đại diện cho cơ chế CDCM-as-signature và cơ chế institutional-void amplification của CIMT. H6 kiểm định</w:t>
      </w:r>
      <w:r>
        <w:t xml:space="preserve"> </w:t>
      </w:r>
      <w:r>
        <w:rPr>
          <w:iCs/>
          <w:i/>
        </w:rPr>
        <w:t xml:space="preserve">temporal heterogeneity</w:t>
      </w:r>
      <w:r>
        <w:t xml:space="preserve"> </w:t>
      </w:r>
      <w:r>
        <w:t xml:space="preserve">phản ánh sự tiến hóa năng lực và cải thiện thể chế qua các giai đoạn.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riêng phần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w:t>
      </w:r>
    </w:p>
    <w:p>
      <w:pPr>
        <w:pStyle w:val="BlockText"/>
      </w:pPr>
      <w:r>
        <w:rPr>
          <w:iCs/>
          <w:i/>
        </w:rPr>
        <w:t xml:space="preserve">Ghi chú phương pháp luận về ký hiệu H4.</w:t>
      </w:r>
      <w:r>
        <w:t xml:space="preserve"> </w:t>
      </w:r>
      <w:r>
        <w:t xml:space="preserve">Ký hiệu giả thuyết được giữ lại từ phiên bản đầu của thiết kế luận án để duy trì tính nhất quán đối chiếu với các bản thảo đồng hành (phân tích Việt Nam, Singapore, Trung Quốc) vốn được phát triển song song. Một reviewer chính thức của tạp chí có thể đề nghị tái nhãn thành</w:t>
      </w:r>
      <w:r>
        <w:t xml:space="preserve"> </w:t>
      </w:r>
      <w:r>
        <w:t xml:space="preserve">“</w:t>
      </w:r>
      <w:r>
        <w:t xml:space="preserve">Khối kiểm soát C1</w:t>
      </w:r>
      <w:r>
        <w:t xml:space="preserve">”</w:t>
      </w:r>
      <w:r>
        <w:t xml:space="preserve"> </w:t>
      </w:r>
      <w:r>
        <w:t xml:space="preserve">để phản ánh chính xác vai trò phương pháp luận, và đề xuất này được luận án ghi nhận là hợp lệ; bản dispute sẽ được giải quyết tại giai đoạn revision của bản thảo đồng hành.</w:t>
      </w:r>
    </w:p>
    <w:p>
      <w:pPr>
        <w:pStyle w:val="FirstParagraph"/>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50"/>
    <w:bookmarkStart w:id="51" w:name="X0a81e8b3240aff50264466ceb20bd9b6162dbaf"/>
    <w:p>
      <w:pPr>
        <w:pStyle w:val="Heading3"/>
      </w:pPr>
      <w:r>
        <w:t xml:space="preserve">2.5.8 Kết nối khoảng trống với chương trình kiểm định</w:t>
      </w:r>
    </w:p>
    <w:p>
      <w:pPr>
        <w:pStyle w:val="FirstParagraph"/>
      </w:pPr>
      <w:r>
        <w:t xml:space="preserve">Ba khoảng trống dẫn về một chương trình kiểm định gồm ba mảnh ghép bổ sung cho nhau, vận hành trên khung phân tầng CIMT–ICRV–CDCM. Khoảng trống thứ nhất và thứ ba cùng dẫn về câu hỏi liệu CIMT (cơ chế) — qua taxonomy ICRV và signature CDCM —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51"/>
    <w:bookmarkEnd w:id="52"/>
    <w:bookmarkStart w:id="53"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một</w:t>
      </w:r>
      <w:r>
        <w:t xml:space="preserve"> </w:t>
      </w:r>
      <w:r>
        <w:rPr>
          <w:bCs/>
          <w:b/>
        </w:rPr>
        <w:t xml:space="preserve">khung phân tầng ba lớp</w:t>
      </w:r>
      <w:r>
        <w:t xml:space="preserve">: CIMT (Capability-Institution Mismatch Theory) làm cơ chế lý thuyết bao trùm tầm trung; ICRV (Institutional Context Regime Variation) làm công cụ phân loại bối cảnh thể chế; và CDCM (Context-Contingent Digital-and-Capability Model) làm biểu hiện thực nghiệm cấp doanh nghiệp dưới điều kiện số hóa. Trên nền tảng phân tầng này, luận án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53"/>
    <w:bookmarkEnd w:id="5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2026-06-04T01:00:23Z</dcterms:created>
  <dcterms:modified xsi:type="dcterms:W3CDTF">2026-06-04T01:00:23Z</dcterms:modified>
</cp:coreProperties>
</file>

<file path=docProps/custom.xml><?xml version="1.0" encoding="utf-8"?>
<Properties xmlns="http://schemas.openxmlformats.org/officeDocument/2006/custom-properties" xmlns:vt="http://schemas.openxmlformats.org/officeDocument/2006/docPropsVTypes"/>
</file>