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3"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p>
      <w:pPr>
        <w:pStyle w:val="BlockText"/>
      </w:pPr>
      <w:r>
        <w:rPr>
          <w:bCs/>
          <w:b/>
        </w:rPr>
        <w:t xml:space="preserve">Cách đọc</w:t>
      </w:r>
      <w:r>
        <w:rPr>
          <w:bCs/>
          <w:b/>
        </w:rPr>
        <w:t xml:space="preserve"> </w:t>
      </w:r>
      <w:r>
        <w:rPr>
          <w:bCs/>
          <w:b/>
        </w:rPr>
        <w:t xml:space="preserve">“</w:t>
      </w:r>
      <w:r>
        <w:rPr>
          <w:bCs/>
          <w:b/>
        </w:rPr>
        <w:t xml:space="preserve">45 vs 47 nền kinh tế</w:t>
      </w:r>
      <w:r>
        <w:rPr>
          <w:bCs/>
          <w:b/>
        </w:rPr>
        <w:t xml:space="preserve">”</w:t>
      </w:r>
      <w:r>
        <w:rPr>
          <w:bCs/>
          <w:b/>
        </w:rPr>
        <w:t xml:space="preserve"> </w:t>
      </w:r>
      <w:r>
        <w:rPr>
          <w:bCs/>
          <w:b/>
        </w:rPr>
        <w:t xml:space="preserve">trong Chương 3 và toàn luận án:</w:t>
      </w:r>
      <w:r>
        <w:t xml:space="preserve"> </w:t>
      </w:r>
      <w:r>
        <w:rPr>
          <w:iCs/>
          <w:i/>
        </w:rPr>
        <w:t xml:space="preserve">47 nền kinh tế</w:t>
      </w:r>
      <w:r>
        <w:t xml:space="preserve"> </w:t>
      </w:r>
      <w:r>
        <w:t xml:space="preserve">là phạm vi</w:t>
      </w:r>
      <w:r>
        <w:t xml:space="preserve"> </w:t>
      </w:r>
      <w:r>
        <w:rPr>
          <w:iCs/>
          <w:i/>
        </w:rPr>
        <w:t xml:space="preserve">mô tả / chuẩn hóa dữ liệu WBES</w:t>
      </w:r>
      <w:r>
        <w:t xml:space="preserve"> </w:t>
      </w:r>
      <w:r>
        <w:t xml:space="preserve">(toàn bộ pool 101.185 doanh nghiệp sau khi hòa hợp ba thế hệ lược đồ PICS3 / Standardized / BREADY-BEE).</w:t>
      </w:r>
      <w:r>
        <w:t xml:space="preserve"> </w:t>
      </w:r>
      <w:r>
        <w:rPr>
          <w:iCs/>
          <w:i/>
        </w:rPr>
        <w:t xml:space="preserve">45 nền kinh tế</w:t>
      </w:r>
      <w:r>
        <w:t xml:space="preserve"> </w:t>
      </w:r>
      <w:r>
        <w:t xml:space="preserve">là phạm vi</w:t>
      </w:r>
      <w:r>
        <w:t xml:space="preserve"> </w:t>
      </w:r>
      <w:r>
        <w:rPr>
          <w:iCs/>
          <w:i/>
        </w:rPr>
        <w:t xml:space="preserve">hồi quy đa quốc gia</w:t>
      </w:r>
      <w:r>
        <w:t xml:space="preserve"> </w:t>
      </w:r>
      <w:r>
        <w:t xml:space="preserve">trong Nghiên cứu 7 (sau khi loại Oman 2003 vì thiếu biến cốt lõi, cùng với loại trừ xuyên lục địa Türkiye / Azerbaijan / Comoros theo Appendix F). Hai con số không mâu thuẫn mà phản ánh hai phạm vi mẫu khác nhau; chi tiết tại Chương 1 §1.4.3.</w:t>
      </w:r>
    </w:p>
    <w:bookmarkEnd w:id="21"/>
    <w:bookmarkStart w:id="22"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22"/>
    <w:bookmarkEnd w:id="23"/>
    <w:bookmarkStart w:id="28" w:name="giai-đoạn-1-phân-tích-tổng-hợp-1982-2026"/>
    <w:p>
      <w:pPr>
        <w:pStyle w:val="Heading2"/>
      </w:pPr>
      <w:r>
        <w:t xml:space="preserve">3.2 Giai đoạn 1: Phân tích tổng hợp 1982-2026</w:t>
      </w:r>
    </w:p>
    <w:bookmarkStart w:id="24"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24"/>
    <w:bookmarkStart w:id="25"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25"/>
    <w:bookmarkStart w:id="26"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26"/>
    <w:bookmarkStart w:id="27" w:name="Xa6cbd3da0aff850ffd1ce39357f1bb2349d5e5e"/>
    <w:p>
      <w:pPr>
        <w:pStyle w:val="Heading3"/>
      </w:pPr>
      <w:r>
        <w:t xml:space="preserve">3.2.4 Quy trình trích xuất dữ liệu hỗ trợ bằng mô hình ngôn ngữ lớn và chuỗi quy đổi hiệu ứng</w:t>
      </w:r>
    </w:p>
    <w:p>
      <w:pPr>
        <w:pStyle w:val="FirstParagraph"/>
      </w:pPr>
      <w:r>
        <w:rPr>
          <w:bCs/>
          <w:b/>
        </w:rPr>
        <w:t xml:space="preserve">Bối cảnh phương pháp luận.</w:t>
      </w:r>
      <w:r>
        <w:t xml:space="preserve"> </w:t>
      </w:r>
      <w:r>
        <w:t xml:space="preserve">Trích xuất dữ liệu trong tổng quan hệ thống là khâu tốn công và dễ sai sót; rà soát của Mathes và cộng sự (2017) ghi nhận lỗi trích xuất có thể đáng kể và ảnh hưởng tới ước lượng độ lớn hiệu ứng. Hướng</w:t>
      </w:r>
      <w:r>
        <w:t xml:space="preserve"> </w:t>
      </w:r>
      <w:r>
        <w:rPr>
          <w:iCs/>
          <w:i/>
        </w:rPr>
        <w:t xml:space="preserve">tự động hóa tổng quan hệ thống</w:t>
      </w:r>
      <w:r>
        <w:t xml:space="preserve"> </w:t>
      </w:r>
      <w:r>
        <w:t xml:space="preserve">đã hình thành để giảm gánh nặng này (Tsafnat et al., 2014; Marshall &amp; Wallace, 2019), trong đó tự động hóa riêng khâu trích xuất dữ liệu được khảo sát có hệ thống bởi Jonnalagadda và cộng sự (2015). Các hướng dẫn phương pháp luận nhất quán nhấn mạnh rằng tự động hóa chỉ đóng vai</w:t>
      </w:r>
      <w:r>
        <w:t xml:space="preserve"> </w:t>
      </w:r>
      <w:r>
        <w:rPr>
          <w:bCs/>
          <w:b/>
        </w:rPr>
        <w:t xml:space="preserve">hỗ trợ</w:t>
      </w:r>
      <w:r>
        <w:t xml:space="preserve"> </w:t>
      </w:r>
      <w:r>
        <w:t xml:space="preserve">chứ không thay thế phán đoán của nhà nghiên cứu, nguyên lý</w:t>
      </w:r>
      <w:r>
        <w:t xml:space="preserve"> </w:t>
      </w:r>
      <w:r>
        <w:rPr>
          <w:bCs/>
          <w:b/>
        </w:rPr>
        <w:t xml:space="preserve">con người trong vòng lặp (human-in-the-loop, HITL)</w:t>
      </w:r>
      <w:r>
        <w:t xml:space="preserve">. Bằng chứng thử nghiệm gần đây từ Gartlehner và cộng sự (2024) cho thấy mô hình ngôn ngữ lớn có thể hỗ trợ trích xuất bằng chứng với độ chính xác hứa hẹn khi áp dụng cùng giám sát chuyên môn.</w:t>
      </w:r>
    </w:p>
    <w:p>
      <w:pPr>
        <w:pStyle w:val="BodyText"/>
      </w:pPr>
      <w:r>
        <w:rPr>
          <w:bCs/>
          <w:b/>
        </w:rPr>
        <w:t xml:space="preserve">Quy trình trích xuất.</w:t>
      </w:r>
      <w:r>
        <w:t xml:space="preserve"> </w:t>
      </w:r>
      <w:r>
        <w:t xml:space="preserve">Luận án vận hành một quy trình trích xuất ba bước theo HITL: (1)</w:t>
      </w:r>
      <w:r>
        <w:t xml:space="preserve"> </w:t>
      </w:r>
      <w:r>
        <w:rPr>
          <w:bCs/>
          <w:b/>
        </w:rPr>
        <w:t xml:space="preserve">Bản nháp tự động</w:t>
      </w:r>
      <w:r>
        <w:t xml:space="preserve">, một mô hình ngôn ngữ lớn (xem Supplement S-MAIDA cho cấu hình mô hình, prompt template và phiên bản) hoặc bộ quy tắc biểu thức chính quy đọc PDF nguồn và đề xuất bản nháp gồm cỡ mẫu</w:t>
      </w:r>
      <w:r>
        <w:t xml:space="preserve"> </w:t>
      </w:r>
      <m:oMath>
        <m:r>
          <m:t>N</m:t>
        </m:r>
      </m:oMath>
      <w:r>
        <w:t xml:space="preserve">, hệ số hiệu ứng (Pearson</w:t>
      </w:r>
      <w:r>
        <w:t xml:space="preserve"> </w:t>
      </w:r>
      <m:oMath>
        <m:r>
          <m:t>r</m:t>
        </m:r>
      </m:oMath>
      <w:r>
        <w:t xml:space="preserve">,</w:t>
      </w:r>
      <w:r>
        <w:t xml:space="preserve"> </w:t>
      </w:r>
      <m:oMath>
        <m:r>
          <m:t>β</m:t>
        </m:r>
      </m:oMath>
      <w:r>
        <w:t xml:space="preserve">,</w:t>
      </w:r>
      <w:r>
        <w:t xml:space="preserve"> </w:t>
      </w:r>
      <m:oMath>
        <m:r>
          <m:t>t</m:t>
        </m:r>
      </m:oMath>
      <w:r>
        <w:t xml:space="preserve">,</w:t>
      </w:r>
      <w:r>
        <w:t xml:space="preserve"> </w:t>
      </w:r>
      <m:oMath>
        <m:r>
          <m:t>F</m:t>
        </m:r>
      </m:oMath>
      <w:r>
        <w:t xml:space="preserve">), bậc tự do, vị trí trang/bảng, kèm đoạn trích nguyên văn. (2)</w:t>
      </w:r>
      <w:r>
        <w:t xml:space="preserve"> </w:t>
      </w:r>
      <w:r>
        <w:rPr>
          <w:bCs/>
          <w:b/>
        </w:rPr>
        <w:t xml:space="preserve">Rà soát thủ công</w:t>
      </w:r>
      <w:r>
        <w:t xml:space="preserve">, nghiên cứu sinh đối chiếu từng đại lượng với PDF nguồn, hiệu chỉnh nếu cần và xác nhận; mọi sửa đổi được ghi vết. (3)</w:t>
      </w:r>
      <w:r>
        <w:t xml:space="preserve"> </w:t>
      </w:r>
      <w:r>
        <w:rPr>
          <w:bCs/>
          <w:b/>
        </w:rPr>
        <w:t xml:space="preserve">Khóa bản ghi</w:t>
      </w:r>
      <w:r>
        <w:t xml:space="preserve">, sau xác nhận, bản ghi được khóa kèm dấu thời gian, tạo vết kiểm toán cho từng quyết định trích xuất. Vai trò của tự động hóa là rút ngắn thời gian; trách nhiệm cuối cùng về tính hợp lệ của mỗi số liệu vẫn thuộc về nghiên cứu sinh, do đó kết luận phân tích tổng hợp không phụ thuộc vào mức độ tự động hóa của bước nháp.</w:t>
      </w:r>
    </w:p>
    <w:p>
      <w:pPr>
        <w:pStyle w:val="BodyText"/>
      </w:pPr>
      <w:r>
        <w:rPr>
          <w:bCs/>
          <w:b/>
        </w:rPr>
        <w:t xml:space="preserve">Đánh giá chất lượng và tính tái lập.</w:t>
      </w:r>
      <w:r>
        <w:t xml:space="preserve"> </w:t>
      </w:r>
      <w:r>
        <w:t xml:space="preserve">Để xác minh chất lượng quy trình, một tập gold-standard gồm các nghiên cứu được trích xuất hoàn toàn thủ công bởi một mã hóa viên độc lập làm tham chiếu; bản nháp tự động được so sánh với tham chiếu này trên các đại lượng cốt lõi (</w:t>
      </w:r>
      <m:oMath>
        <m:r>
          <m:t>N</m:t>
        </m:r>
      </m:oMath>
      <w:r>
        <w:t xml:space="preserve">,</w:t>
      </w:r>
      <w:r>
        <w:t xml:space="preserve"> </w:t>
      </w:r>
      <m:oMath>
        <m:r>
          <m:t>r</m:t>
        </m:r>
      </m:oMath>
      <w:r>
        <w:t xml:space="preserve">/</w:t>
      </w:r>
      <m:oMath>
        <m:r>
          <m:t>β</m:t>
        </m:r>
      </m:oMath>
      <w:r>
        <w:t xml:space="preserve">,</w:t>
      </w:r>
      <w:r>
        <w:t xml:space="preserve"> </w:t>
      </w:r>
      <m:oMath>
        <m:r>
          <m:t>d</m:t>
        </m:r>
        <m:r>
          <m:t>f</m:t>
        </m:r>
      </m:oMath>
      <w:r>
        <w:t xml:space="preserve">). Các chỉ số tin cậy (Cohen’s</w:t>
      </w:r>
      <w:r>
        <w:t xml:space="preserve"> </w:t>
      </w:r>
      <m:oMath>
        <m:r>
          <m:t>κ</m:t>
        </m:r>
      </m:oMath>
      <w:r>
        <w:t xml:space="preserve"> </w:t>
      </w:r>
      <w:r>
        <w:t xml:space="preserve">cho mã phân loại; phần trăm đồng nhất số trong khoảng dung sai 5% cho đại lượng số) và phân tích lỗi theo loại đại lượng được báo cáo trong Supplement S-MAIDA. Vì bước nháp bằng mô hình ngôn ngữ lớn không mang tính tất định, tính tái lập của nghiên cứu được bảo đảm không phải qua việc chạy lại bước nháp mà qua tập dữ liệu đã rà soát và khóa, công bố công khai trên OSF (https://osf.io/z37kn) cùng codebook và quy trình mã hóa.</w:t>
      </w:r>
    </w:p>
    <w:p>
      <w:pPr>
        <w:pStyle w:val="BodyText"/>
      </w:pPr>
      <w:r>
        <w:rPr>
          <w:bCs/>
          <w:b/>
        </w:rPr>
        <w:t xml:space="preserve">Chuỗi quy đổi về</w:t>
      </w:r>
      <w:r>
        <w:rPr>
          <w:bCs/>
          <w:b/>
        </w:rPr>
        <w:t xml:space="preserve"> </w:t>
      </w:r>
      <m:oMath>
        <m:r>
          <m:t>r</m:t>
        </m:r>
      </m:oMath>
      <w:r>
        <w:rPr>
          <w:bCs/>
          <w:b/>
        </w:rPr>
        <w:t xml:space="preserve">.</w:t>
      </w:r>
      <w:r>
        <w:t xml:space="preserve"> </w:t>
      </w:r>
      <w:r>
        <w:t xml:space="preserve">Khi Pearson</w:t>
      </w:r>
      <w:r>
        <w:t xml:space="preserve"> </w:t>
      </w:r>
      <m:oMath>
        <m:r>
          <m:t>r</m:t>
        </m:r>
      </m:oMath>
      <w:r>
        <w:t xml:space="preserve"> </w:t>
      </w:r>
      <w:r>
        <w:t xml:space="preserve">không được báo cáo trực tiếp, áp dụng chuỗi quy đổi theo thứ tự ưu tiên về độ chính xác thống kê (Borenstein et al., 2009):</w:t>
      </w:r>
    </w:p>
    <w:tbl>
      <w:tblPr>
        <w:tblStyle w:val="Table"/>
        <w:tblW w:type="pct" w:w="5000"/>
        <w:tblLook w:firstRow="1" w:lastRow="0" w:firstColumn="0" w:lastColumn="0" w:noHBand="0" w:noVBand="0" w:val="0020"/>
        <w:jc w:val="start"/>
      </w:tblPr>
      <w:tblGrid>
        <w:gridCol w:w="1218"/>
        <w:gridCol w:w="5280"/>
        <w:gridCol w:w="1421"/>
      </w:tblGrid>
      <w:tr>
        <w:trPr>
          <w:tblHeader w:val="true"/>
        </w:trPr>
        <w:tc>
          <w:tcPr/>
          <w:p>
            <w:pPr>
              <w:pStyle w:val="Compact"/>
              <w:jc w:val="left"/>
            </w:pPr>
            <w:r>
              <w:t xml:space="preserve">Bước</w:t>
            </w:r>
          </w:p>
        </w:tc>
        <w:tc>
          <w:tcPr/>
          <w:p>
            <w:pPr>
              <w:pStyle w:val="Compact"/>
              <w:jc w:val="left"/>
            </w:pPr>
            <w:r>
              <w:t xml:space="preserve">Công thức quy đổi về</w:t>
            </w:r>
            <w:r>
              <w:t xml:space="preserve"> </w:t>
            </w:r>
            <m:oMath>
              <m:r>
                <m:t>r</m:t>
              </m:r>
            </m:oMath>
          </w:p>
        </w:tc>
        <w:tc>
          <w:tcPr/>
          <w:p>
            <w:pPr>
              <w:pStyle w:val="Compact"/>
              <w:jc w:val="left"/>
            </w:pPr>
            <w:r>
              <w:t xml:space="preserve">Nguồn</w:t>
            </w:r>
          </w:p>
        </w:tc>
      </w:tr>
      <w:tr>
        <w:tc>
          <w:tcPr/>
          <w:p>
            <w:pPr>
              <w:pStyle w:val="Compact"/>
              <w:jc w:val="left"/>
            </w:pPr>
            <w:r>
              <w:t xml:space="preserve">(i)</w:t>
            </w:r>
          </w:p>
        </w:tc>
        <w:tc>
          <w:tcPr/>
          <w:p>
            <w:pPr>
              <w:pStyle w:val="Compact"/>
              <w:jc w:val="left"/>
            </w:pP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giữ dấu theo chiều hệ số</w:t>
            </w:r>
          </w:p>
        </w:tc>
        <w:tc>
          <w:tcPr/>
          <w:p>
            <w:pPr>
              <w:pStyle w:val="Compact"/>
              <w:jc w:val="left"/>
            </w:pPr>
            <w:r>
              <w:t xml:space="preserve">Cohen (1988)</w:t>
            </w:r>
          </w:p>
        </w:tc>
      </w:tr>
      <w:tr>
        <w:tc>
          <w:tcPr/>
          <w:p>
            <w:pPr>
              <w:pStyle w:val="Compact"/>
              <w:jc w:val="left"/>
            </w:pPr>
            <w:r>
              <w:t xml:space="preserve">(ii)</w:t>
            </w:r>
          </w:p>
        </w:tc>
        <w:tc>
          <w:tcPr/>
          <w:p>
            <w:pPr>
              <w:pStyle w:val="Compact"/>
              <w:jc w:val="left"/>
            </w:pPr>
            <m:oMath>
              <m:sSub>
                <m:e>
                  <m:r>
                    <m:t>r</m:t>
                  </m:r>
                </m:e>
                <m:sub>
                  <m:r>
                    <m:rPr>
                      <m:nor/>
                      <m:sty m:val="p"/>
                    </m:rPr>
                    <m:t>partial</m:t>
                  </m:r>
                </m:sub>
              </m:sSub>
              <m:r>
                <m:rPr>
                  <m:sty m:val="p"/>
                </m:rPr>
                <m:t>=</m:t>
              </m:r>
              <m:r>
                <m:t>0</m:t>
              </m:r>
              <m:r>
                <m:rPr>
                  <m:sty m:val="p"/>
                </m:rPr>
                <m:t>,</m:t>
              </m:r>
              <m:r>
                <m:t>98</m:t>
              </m:r>
              <m:r>
                <m:rPr>
                  <m:sty m:val="p"/>
                </m:rPr>
                <m:t>×</m:t>
              </m:r>
              <m:r>
                <m:t>β</m:t>
              </m:r>
            </m:oMath>
            <w:r>
              <w:t xml:space="preserve"> </w:t>
            </w:r>
            <w:r>
              <w:t xml:space="preserve">(từ hệ số hồi quy chuẩn hóa)</w:t>
            </w:r>
          </w:p>
        </w:tc>
        <w:tc>
          <w:tcPr/>
          <w:p>
            <w:pPr>
              <w:pStyle w:val="Compact"/>
              <w:jc w:val="left"/>
            </w:pPr>
            <w:r>
              <w:t xml:space="preserve">Peterson &amp; Brown (2005)</w:t>
            </w:r>
          </w:p>
        </w:tc>
      </w:tr>
      <w:tr>
        <w:tc>
          <w:tcPr/>
          <w:p>
            <w:pPr>
              <w:pStyle w:val="Compact"/>
              <w:jc w:val="left"/>
            </w:pPr>
            <w:r>
              <w:t xml:space="preserve">(iii)</w:t>
            </w:r>
          </w:p>
        </w:tc>
        <w:tc>
          <w:tcPr/>
          <w:p>
            <w:pPr>
              <w:pStyle w:val="Compact"/>
              <w:jc w:val="left"/>
            </w:pP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với</w:t>
            </w:r>
            <w:r>
              <w:t xml:space="preserve"> </w:t>
            </w:r>
            <m:oMath>
              <m:r>
                <m:t>d</m:t>
              </m:r>
              <m:sSub>
                <m:e>
                  <m:r>
                    <m:t>f</m:t>
                  </m:r>
                </m:e>
                <m:sub>
                  <m:r>
                    <m:t>1</m:t>
                  </m:r>
                </m:sub>
              </m:sSub>
              <m:r>
                <m:rPr>
                  <m:sty m:val="p"/>
                </m:rPr>
                <m:t>=</m:t>
              </m:r>
              <m:r>
                <m:t>1</m:t>
              </m:r>
            </m:oMath>
          </w:p>
        </w:tc>
        <w:tc>
          <w:tcPr/>
          <w:p>
            <w:pPr>
              <w:pStyle w:val="Compact"/>
              <w:jc w:val="left"/>
            </w:pPr>
            <w:r>
              <w:t xml:space="preserve">Rosenthal (1994)</w:t>
            </w:r>
          </w:p>
        </w:tc>
      </w:tr>
    </w:tbl>
    <w:p>
      <w:pPr>
        <w:pStyle w:val="BodyText"/>
      </w:pPr>
      <w:r>
        <w:t xml:space="preserve">Nghiên cứu chỉ báo cáo</w:t>
      </w:r>
      <w:r>
        <w:t xml:space="preserve"> </w:t>
      </w:r>
      <m:oMath>
        <m:r>
          <m:t>β</m:t>
        </m:r>
      </m:oMath>
      <w:r>
        <w:t xml:space="preserve"> </w:t>
      </w:r>
      <w:r>
        <w:t xml:space="preserve">chưa chuẩn hóa mà không kèm thống kê</w:t>
      </w:r>
      <w:r>
        <w:t xml:space="preserve"> </w:t>
      </w:r>
      <m:oMath>
        <m:r>
          <m:t>t</m:t>
        </m:r>
      </m:oMath>
      <w:r>
        <w:t xml:space="preserve"> </w:t>
      </w:r>
      <w:r>
        <w:t xml:space="preserve">và</w:t>
      </w:r>
      <w:r>
        <w:t xml:space="preserve"> </w:t>
      </w:r>
      <m:oMath>
        <m:r>
          <m:t>d</m:t>
        </m:r>
        <m:r>
          <m:t>f</m:t>
        </m:r>
      </m:oMath>
      <w:r>
        <w:t xml:space="preserve"> </w:t>
      </w:r>
      <w:r>
        <w:t xml:space="preserve">bị loại khỏi mẫu, trừ khi giá trị</w:t>
      </w:r>
      <w:r>
        <w:t xml:space="preserve"> </w:t>
      </w:r>
      <m:oMath>
        <m:r>
          <m:t>p</m:t>
        </m:r>
      </m:oMath>
      <w:r>
        <w:t xml:space="preserve"> </w:t>
      </w:r>
      <w:r>
        <w:t xml:space="preserve">cho phép tối thiểu phân loại chiều hướng. Mọi</w:t>
      </w:r>
      <w:r>
        <w:t xml:space="preserve"> </w:t>
      </w:r>
      <m:oMath>
        <m:r>
          <m:t>r</m:t>
        </m:r>
      </m:oMath>
      <w:r>
        <w:t xml:space="preserve"> </w:t>
      </w:r>
      <w:r>
        <w:t xml:space="preserve">sau đó được biến đổi sang thang Fisher</w:t>
      </w:r>
      <w:r>
        <w:t xml:space="preserve"> </w:t>
      </w:r>
      <m:oMath>
        <m:r>
          <m:t>z</m:t>
        </m:r>
        <m:r>
          <m:rPr>
            <m:sty m:val="p"/>
          </m:rPr>
          <m:t>=</m:t>
        </m:r>
        <m:f>
          <m:fPr>
            <m:type m:val="lin"/>
          </m:fPr>
          <m:num>
            <m:r>
              <m:t>1</m:t>
            </m:r>
          </m:num>
          <m:den>
            <m:r>
              <m:t>2</m:t>
            </m:r>
          </m:den>
        </m:f>
        <m:r>
          <m:rPr>
            <m:sty m:val="p"/>
          </m:rPr>
          <m:t>ln</m:t>
        </m:r>
        <m:d>
          <m:dPr>
            <m:begChr m:val="["/>
            <m:endChr m:val="]"/>
            <m:sepChr m:val=""/>
            <m:grow/>
          </m:dPr>
          <m:e>
            <m:d>
              <m:dPr>
                <m:begChr m:val="("/>
                <m:endChr m:val=")"/>
                <m:sepChr m:val=""/>
                <m:grow/>
              </m:dPr>
              <m:e>
                <m:r>
                  <m:t>1</m:t>
                </m:r>
                <m:r>
                  <m:rPr>
                    <m:sty m:val="p"/>
                  </m:rPr>
                  <m:t>+</m:t>
                </m:r>
                <m:r>
                  <m:t>r</m:t>
                </m:r>
              </m:e>
            </m:d>
            <m:r>
              <m:rPr>
                <m:sty m:val="p"/>
              </m:rPr>
              <m:t>/</m:t>
            </m:r>
            <m:d>
              <m:dPr>
                <m:begChr m:val="("/>
                <m:endChr m:val=")"/>
                <m:sepChr m:val=""/>
                <m:grow/>
              </m:dPr>
              <m:e>
                <m:r>
                  <m:t>1</m:t>
                </m:r>
                <m:r>
                  <m:rPr>
                    <m:sty m:val="p"/>
                  </m:rPr>
                  <m:t>−</m:t>
                </m:r>
                <m:r>
                  <m:t>r</m:t>
                </m:r>
              </m:e>
            </m:d>
          </m:e>
        </m:d>
      </m:oMath>
      <w:r>
        <w:t xml:space="preserve"> </w:t>
      </w:r>
      <w:r>
        <w:t xml:space="preserve">để ổn định phương sai trước khi gộp (Hedges &amp; Olkin, 1985); mọi giá trị</w:t>
      </w:r>
      <w:r>
        <w:t xml:space="preserve"> </w:t>
      </w:r>
      <m:oMath>
        <m:d>
          <m:dPr>
            <m:begChr m:val="|"/>
            <m:endChr m:val="|"/>
            <m:sepChr m:val=""/>
            <m:grow/>
          </m:dPr>
          <m:e>
            <m:r>
              <m:t>r</m:t>
            </m:r>
          </m:e>
        </m:d>
        <m:r>
          <m:rPr>
            <m:sty m:val="p"/>
          </m:rPr>
          <m:t>≥</m:t>
        </m:r>
        <m:r>
          <m:t>1</m:t>
        </m:r>
      </m:oMath>
      <w:r>
        <w:t xml:space="preserve"> </w:t>
      </w:r>
      <w:r>
        <w:t xml:space="preserve">đều bị loại. Quy trình mã hóa và đánh giá độ tin cậy liên mã hóa viên giữa hai người (theo ngưỡng tiền đăng ký Cohen’s</w:t>
      </w:r>
      <w:r>
        <w:t xml:space="preserve"> </w:t>
      </w:r>
      <m:oMath>
        <m:r>
          <m:t>κ</m:t>
        </m:r>
        <m:r>
          <m:rPr>
            <m:sty m:val="p"/>
          </m:rPr>
          <m:t>≥</m:t>
        </m:r>
        <m:r>
          <m:t>0</m:t>
        </m:r>
        <m:r>
          <m:rPr>
            <m:sty m:val="p"/>
          </m:rPr>
          <m:t>,</m:t>
        </m:r>
        <m:r>
          <m:t>70</m:t>
        </m:r>
      </m:oMath>
      <w:r>
        <w:t xml:space="preserve">) được trình bày chi tiết trong bài báo phân tích tổng hợp thành phần (P6).</w:t>
      </w:r>
    </w:p>
    <w:bookmarkEnd w:id="27"/>
    <w:bookmarkEnd w:id="28"/>
    <w:bookmarkStart w:id="37" w:name="X2f2dc61cf51b22160123af8668c978f8ce43175"/>
    <w:p>
      <w:pPr>
        <w:pStyle w:val="Heading2"/>
      </w:pPr>
      <w:r>
        <w:t xml:space="preserve">3.3 Giai đoạn 2: Phân tích thực nghiệm đa quốc gia</w:t>
      </w:r>
    </w:p>
    <w:bookmarkStart w:id="29"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29"/>
    <w:bookmarkStart w:id="30" w:name="Xbff20786659f3471473d6f5f9041e850d60d8e2"/>
    <w:p>
      <w:pPr>
        <w:pStyle w:val="Heading3"/>
      </w:pPr>
      <w:r>
        <w:t xml:space="preserve">3.3.2 Đo lường biến phụ thuộc, Hiệu quả hoạt động</w:t>
      </w:r>
    </w:p>
    <w:p>
      <w:pPr>
        <w:pStyle w:val="FirstParagraph"/>
      </w:pPr>
      <w:r>
        <w:t xml:space="preserve">Biến phụ thuộc chính là</w:t>
      </w:r>
      <w:r>
        <w:t xml:space="preserve"> </w:t>
      </w:r>
      <w:r>
        <w:rPr>
          <w:bCs/>
          <w:b/>
        </w:rPr>
        <w:t xml:space="preserve">năng suất lao động</w:t>
      </w:r>
      <w:r>
        <w:t xml:space="preserve">,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 Chỉ tiêu này được sử dụng rộng rãi trong các nghiên cứu WBES và năng suất doanh nghiệp (Bloom et al., 2012; Hsieh &amp; Klenow, 2009) và đã được vận hành hóa trong bài thực trạng châu Á mới nổi (Do &amp; Phan, 2026a).</w:t>
      </w:r>
    </w:p>
    <w:p>
      <w:pPr>
        <w:pStyle w:val="BodyText"/>
      </w:pPr>
      <w:r>
        <w:t xml:space="preserve">Lựa chọn năng suất lao động thay vì ROA/ROE/ROS phản ánh hai đặc điểm của dữ liệu: WBES không phải bộ báo cáo tài chính đầy đủ, và năng suất lao động có tính so sánh xuyên quốc gia cao hơn do không bị ảnh hưởng bởi chuẩn mực kế toán khác biệt (Combs et al., 2005; Richard et al., 2009). Hiệu quả hoạt động là khái niệm đa chiều, do đó kiểm định độ vững sử dụng các thước đo thay thế (ROS, tăng trưởng doanh thu, tăng trưởng lao động,</w:t>
      </w:r>
      <w:r>
        <w:t xml:space="preserve"> </w:t>
      </w:r>
      <m:oMath>
        <m:r>
          <m:rPr>
            <m:sty m:val="p"/>
          </m:rPr>
          <m:t>ln</m:t>
        </m:r>
      </m:oMath>
      <w:r>
        <w:t xml:space="preserve"> </w:t>
      </w:r>
      <w:r>
        <w:t xml:space="preserve">doanh thu năm) để xác nhận kết quả không phụ thuộc vào lựa chọn cụ thể (xem</w:t>
      </w:r>
      <w:r>
        <w:t xml:space="preserve"> </w:t>
      </w:r>
      <w:r>
        <w:rPr>
          <w:rStyle w:val="VerbatimChar"/>
        </w:rPr>
        <w:t xml:space="preserve">02_theoretical_framework_vi.md</w:t>
      </w:r>
      <w:r>
        <w:t xml:space="preserve"> </w:t>
      </w:r>
      <w:r>
        <w:t xml:space="preserve">cho lập luận đa chiều).</w:t>
      </w:r>
    </w:p>
    <w:bookmarkEnd w:id="30"/>
    <w:bookmarkStart w:id="31" w:name="đo-lường-biến-độc-lập-quốc-tế-hóa"/>
    <w:p>
      <w:pPr>
        <w:pStyle w:val="Heading3"/>
      </w:pPr>
      <w:r>
        <w:t xml:space="preserve">3.3.3 Đo lường biến độc lập, Quốc tế hóa</w:t>
      </w:r>
    </w:p>
    <w:p>
      <w:pPr>
        <w:pStyle w:val="FirstParagraph"/>
      </w:pPr>
      <w:r>
        <w:t xml:space="preserve">Biến độc lập chính là tỷ lệ doanh thu xuất khẩu trên tổng doanh thu (Foreign Sales to Total Sales, FSTS), thước đo phổ biến nhất trong các nghiên cứu I-P (Sullivan, 1994; Hitt et al., 2006). Mô hình đưa vào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U ngược và dạng bậc ba. Đặc tả bậc hai đã được sử dụng trong Lu và Beamish (2004), Contractor et al. (2003), và Hitt et al. (1997); đặc tả bậc ba được Do và Phan (2026b) xác nhận có ý nghĩa thống kê ở Trung Quốc với điểm uốn</w:t>
      </w:r>
      <w:r>
        <w:t xml:space="preserve"> </w:t>
      </w:r>
      <m:oMath>
        <m:r>
          <m:rPr>
            <m:sty m:val="p"/>
          </m:rPr>
          <m:t>≈</m:t>
        </m:r>
      </m:oMath>
      <w:r>
        <w:t xml:space="preserve"> </w:t>
      </w:r>
      <w:r>
        <w:t xml:space="preserve">47,8% FSTS, làm mốc nền cho kiểm định mở rộng trong luận án.</w:t>
      </w:r>
    </w:p>
    <w:bookmarkEnd w:id="31"/>
    <w:bookmarkStart w:id="35" w:name="đo-lường-biến-điều-tiết"/>
    <w:p>
      <w:pPr>
        <w:pStyle w:val="Heading3"/>
      </w:pPr>
      <w:r>
        <w:t xml:space="preserve">3.3.4 Đo lường biến điều tiết</w:t>
      </w:r>
    </w:p>
    <w:bookmarkStart w:id="32"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Quy trình hòa hợp đo lường trong bối cảnh WBES bảo đảm tính thuần nhất khái niệm ở 47 nền kinh tế châu Á và Thái Bình Dương sau khi hòa hợp ba thế hệ lược đồ dữ liệu. Cơ sở phân tách TCI và DAI là sự khác biệt về bản chất của hai khái niệm: năng lực công nghệ (TCI) phản ánh chiều sâu năng lực nội tại của doanh nghiệp, gần với truyền thống năng lực hấp thụ (Cohen &amp; Levinthal, 1990; Lall, 1992), trong khi áp dụng số (DAI) phản ánh mức độ triển khai công cụ số ở giao diện ngoại tại theo phân tầng ba cấp của Verhoef et al. (2021). Cách phân tách này nhất quán với phân biệt khái niệm giữa năng lực CNTT và chiến lược kinh doanh số (Bharadwaj et al., 2013), với logic điều phối nguồn lực cho quan hệ I-P (Bhandari et al., 2023), và với bốn tiêu chí xây dựng chỉ số tổng hợp dạng cấu thành (Coltman et al., 2008), bảo đảm TCI và DAI là hai chỉ số tổng hợp độc lập.</w:t>
      </w:r>
    </w:p>
    <w:bookmarkEnd w:id="32"/>
    <w:bookmarkStart w:id="33"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33"/>
    <w:bookmarkStart w:id="34"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riêng phần của tương tác Thể chế × Công nghệ, không bị nhiễu bởi đặc điểm quản trị,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34"/>
    <w:bookmarkEnd w:id="35"/>
    <w:bookmarkStart w:id="36" w:name="biến-kiểm-soát"/>
    <w:p>
      <w:pPr>
        <w:pStyle w:val="Heading3"/>
      </w:pPr>
      <w:r>
        <w:t xml:space="preserve">3.3.5 Biến kiểm soát</w:t>
      </w:r>
    </w:p>
    <w:p>
      <w:pPr>
        <w:pStyle w:val="FirstParagraph"/>
      </w:pPr>
      <w:r>
        <w:t xml:space="preserve">Bộ biến kiểm soát chuẩn cho nghiên cứu WBES và kinh doanh quốc tế (Aterido et al., 2011; Ayyagari et al., 2011) gồm:</w:t>
      </w:r>
      <w:r>
        <w:t xml:space="preserve"> </w:t>
      </w:r>
      <m:oMath>
        <m:r>
          <m:rPr>
            <m:sty m:val="p"/>
          </m:rPr>
          <m:t>ln</m:t>
        </m:r>
      </m:oMath>
      <w:r>
        <w:t xml:space="preserve"> </w:t>
      </w:r>
      <w:r>
        <w:t xml:space="preserve">số lao động, tuổi doanh nghiệp, biến giả sở hữu nước ngoài, biến giả ngành, hiệu ứng cố định quốc gia, và hiệu ứng cố định năm.</w:t>
      </w:r>
    </w:p>
    <w:bookmarkEnd w:id="36"/>
    <w:bookmarkEnd w:id="37"/>
    <w:bookmarkStart w:id="51" w:name="mô-hình-phân-tích"/>
    <w:p>
      <w:pPr>
        <w:pStyle w:val="Heading2"/>
      </w:pPr>
      <w:r>
        <w:t xml:space="preserve">3.4 Mô hình phân tích</w:t>
      </w:r>
    </w:p>
    <w:bookmarkStart w:id="38"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38"/>
    <w:bookmarkStart w:id="39"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39"/>
    <w:bookmarkStart w:id="40"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40"/>
    <w:bookmarkStart w:id="43" w:name="mô-hình-điều-tiết-h2-h6"/>
    <w:p>
      <w:pPr>
        <w:pStyle w:val="Heading3"/>
      </w:pPr>
      <w:r>
        <w:t xml:space="preserve">3.4.4 Mô hình điều tiết (H2-H6)</w:t>
      </w:r>
    </w:p>
    <w:bookmarkStart w:id="41"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41"/>
    <w:bookmarkStart w:id="42"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riêng phần của tương tác Thể chế × Công nghệ, không bị nhiễu bởi đặc điểm quản trị.</w:t>
      </w:r>
    </w:p>
    <w:bookmarkEnd w:id="42"/>
    <w:bookmarkEnd w:id="43"/>
    <w:bookmarkStart w:id="44"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44"/>
    <w:bookmarkStart w:id="45"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45"/>
    <w:bookmarkStart w:id="46"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6"/>
    <w:bookmarkStart w:id="47"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47"/>
    <w:bookmarkStart w:id="48"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48"/>
    <w:bookmarkStart w:id="49"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and Indian Ocean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49"/>
    <w:bookmarkStart w:id="50"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50"/>
    <w:bookmarkEnd w:id="51"/>
    <w:bookmarkStart w:id="57" w:name="kiểm-định-độ-vững"/>
    <w:p>
      <w:pPr>
        <w:pStyle w:val="Heading2"/>
      </w:pPr>
      <w:r>
        <w:t xml:space="preserve">3.5 Kiểm định độ vững</w:t>
      </w:r>
    </w:p>
    <w:bookmarkStart w:id="52"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52"/>
    <w:bookmarkStart w:id="53"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53"/>
    <w:bookmarkStart w:id="54"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54"/>
    <w:bookmarkStart w:id="55"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55"/>
    <w:bookmarkStart w:id="56"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56"/>
    <w:bookmarkEnd w:id="57"/>
    <w:bookmarkStart w:id="58"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58"/>
    <w:bookmarkStart w:id="59"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5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2026-06-04T01:00:24Z</dcterms:created>
  <dcterms:modified xsi:type="dcterms:W3CDTF">2026-06-04T01:00:24Z</dcterms:modified>
</cp:coreProperties>
</file>

<file path=docProps/custom.xml><?xml version="1.0" encoding="utf-8"?>
<Properties xmlns="http://schemas.openxmlformats.org/officeDocument/2006/custom-properties" xmlns:vt="http://schemas.openxmlformats.org/officeDocument/2006/docPropsVTypes"/>
</file>