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kiểm định cho</w:t>
      </w:r>
      <w:r>
        <w:t xml:space="preserve"> </w:t>
      </w:r>
      <w:r>
        <w:rPr>
          <w:bCs/>
          <w:b/>
        </w:rPr>
        <w:t xml:space="preserve">khung lý thuyết phân tầng CIMT–ICRV–CDCM</w:t>
      </w:r>
      <w:r>
        <w:t xml:space="preserve"> </w:t>
      </w:r>
      <w:r>
        <w:t xml:space="preserve">đã thiết lập ở Chương 2 §2.5: kết quả phân tích tổng hợp (§4.2) và phân tích đa quốc gia (§4.3) kiểm định</w:t>
      </w:r>
      <w:r>
        <w:t xml:space="preserve"> </w:t>
      </w:r>
      <w:r>
        <w:rPr>
          <w:iCs/>
          <w:i/>
        </w:rPr>
        <w:t xml:space="preserve">cơ chế CIMT</w:t>
      </w:r>
      <w:r>
        <w:t xml:space="preserve"> </w:t>
      </w:r>
      <w:r>
        <w:t xml:space="preserve">(3 kênh rent protection / LoF attenuation / institutional-void amplification); dải biến thiên theo</w:t>
      </w:r>
      <w:r>
        <w:t xml:space="preserve"> </w:t>
      </w:r>
      <w:r>
        <w:rPr>
          <w:iCs/>
          <w:i/>
        </w:rPr>
        <w:t xml:space="preserve">taxonomy ICRV</w:t>
      </w:r>
      <w:r>
        <w:t xml:space="preserve"> </w:t>
      </w:r>
      <w:r>
        <w:t xml:space="preserve">hiện rõ ở §4.3 + §4.4;</w:t>
      </w:r>
      <w:r>
        <w:t xml:space="preserve"> </w:t>
      </w:r>
      <w:r>
        <w:rPr>
          <w:iCs/>
          <w:i/>
        </w:rPr>
        <w:t xml:space="preserve">signature CDCM</w:t>
      </w:r>
      <w:r>
        <w:t xml:space="preserve"> </w:t>
      </w:r>
      <w:r>
        <w:t xml:space="preserve">được kiểm định qua tương tác DAI × ICRV (§4.3) và bốn nghiên cứu đơn quốc gia (§4.4 + §4.5). Theo logic này, mỗi nghiên cứu thành phần là một</w:t>
      </w:r>
      <w:r>
        <w:t xml:space="preserve"> </w:t>
      </w:r>
      <w:r>
        <w:rPr>
          <w:iCs/>
          <w:i/>
        </w:rPr>
        <w:t xml:space="preserve">observable signature</w:t>
      </w:r>
      <w:r>
        <w:t xml:space="preserve"> </w:t>
      </w:r>
      <w:r>
        <w:t xml:space="preserve">của CIMT tại một vị trí cụ thể trên dải ICRV: chế độ thể chế ICRV vận hành như</w:t>
      </w:r>
      <w:r>
        <w:t xml:space="preserve"> </w:t>
      </w:r>
      <w:r>
        <w:rPr>
          <w:bCs/>
          <w:b/>
        </w:rPr>
        <w:t xml:space="preserve">bản đồ địa hình xuất khẩu chiến lược (strategic export topography)</w:t>
      </w:r>
      <w:r>
        <w:t xml:space="preserve"> </w:t>
      </w:r>
      <w:r>
        <w:t xml:space="preserve">mà luận án xây dựng, tức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khẳng định</w:t>
      </w:r>
      <w:r>
        <w:t xml:space="preserve"> </w:t>
      </w:r>
      <w:r>
        <w:rPr>
          <w:bCs/>
          <w:b/>
        </w:rPr>
        <w:t xml:space="preserve">selection thực sự tồn tại</w:t>
      </w:r>
      <w:r>
        <w:t xml:space="preserve"> </w:t>
      </w:r>
      <w:r>
        <w:t xml:space="preserve">(Begg</w:t>
      </w:r>
      <w:r>
        <w:t xml:space="preserve"> </w:t>
      </w:r>
      <m:oMath>
        <m:r>
          <m:t>p</m:t>
        </m:r>
        <m:r>
          <m:rPr>
            <m:sty m:val="p"/>
          </m:rPr>
          <m:t>&lt;</m:t>
        </m:r>
        <m:r>
          <m:rPr>
            <m:sty m:val="p"/>
          </m:rPr>
          <m:t>,</m:t>
        </m:r>
        <m:r>
          <m:t>001</m:t>
        </m:r>
      </m:oMath>
      <w:r>
        <w:t xml:space="preserve">; mô hình lựa chọn Vevea-Hedges LRT</w:t>
      </w:r>
      <w:r>
        <w:t xml:space="preserve"> </w:t>
      </w:r>
      <m:oMath>
        <m:r>
          <m:t>p</m:t>
        </m:r>
        <m:r>
          <m:rPr>
            <m:sty m:val="p"/>
          </m:rPr>
          <m:t>=</m:t>
        </m:r>
        <m:r>
          <m:rPr>
            <m:sty m:val="p"/>
          </m:rPr>
          <m:t>,</m:t>
        </m:r>
        <m:r>
          <m:t>002</m:t>
        </m:r>
      </m:oMath>
      <w:r>
        <w:t xml:space="preserve">); về độ lớn, 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tùy giả định selection-process: trim-and-fill cho</w:t>
      </w:r>
      <w:r>
        <w:t xml:space="preserve"> </w:t>
      </w:r>
      <m:oMath>
        <m:r>
          <m:t>r</m:t>
        </m:r>
        <m:r>
          <m:rPr>
            <m:sty m:val="p"/>
          </m:rPr>
          <m:t>=</m:t>
        </m:r>
        <m:r>
          <m:t>0</m:t>
        </m:r>
        <m:r>
          <m:rPr>
            <m:sty m:val="p"/>
          </m:rPr>
          <m:t>,</m:t>
        </m:r>
        <m:r>
          <m:t>035</m:t>
        </m:r>
      </m:oMath>
      <w:r>
        <w:t xml:space="preserve"> </w:t>
      </w:r>
      <w:r>
        <w:t xml:space="preserve">(mạnh nhất), PET-PEESE cho</w:t>
      </w:r>
      <w:r>
        <w:t xml:space="preserve"> </w:t>
      </w:r>
      <m:oMath>
        <m:r>
          <m:t>r</m:t>
        </m:r>
        <m:r>
          <m:rPr>
            <m:sty m:val="p"/>
          </m:rPr>
          <m:t>=</m:t>
        </m:r>
        <m:r>
          <m:t>0</m:t>
        </m:r>
        <m:r>
          <m:rPr>
            <m:sty m:val="p"/>
          </m:rPr>
          <m:t>,</m:t>
        </m:r>
        <m:r>
          <m:t>061</m:t>
        </m:r>
      </m:oMath>
      <w:r>
        <w:t xml:space="preserve">, mô hình lựa chọn Vevea-Hedges cho</w:t>
      </w:r>
      <w:r>
        <w:t xml:space="preserve"> </w:t>
      </w:r>
      <m:oMath>
        <m:r>
          <m:t>r</m:t>
        </m:r>
        <m:r>
          <m:rPr>
            <m:sty m:val="p"/>
          </m:rPr>
          <m:t>=</m:t>
        </m:r>
        <m:r>
          <m:t>0</m:t>
        </m:r>
        <m:r>
          <m:rPr>
            <m:sty m:val="p"/>
          </m:rPr>
          <m:t>,</m:t>
        </m:r>
        <m:r>
          <m:t>077</m:t>
        </m:r>
      </m:oMath>
      <w:r>
        <w:t xml:space="preserve"> </w:t>
      </w:r>
      <w:r>
        <w:t xml:space="preserve">(bảo thủ nhất). Như vậy phần lớn bằng chứng I-P tích lũy suốt bốn thập kỷ có thể đã bị thổi phồng, nhưng</w:t>
      </w:r>
      <w:r>
        <w:t xml:space="preserve"> </w:t>
      </w:r>
      <w:r>
        <w:rPr>
          <w:iCs/>
          <w:i/>
        </w:rPr>
        <w:t xml:space="preserve">mức</w:t>
      </w:r>
      <w:r>
        <w:t xml:space="preserve"> </w:t>
      </w:r>
      <w:r>
        <w:t xml:space="preserve">thổi phồng phụ thuộc vào phương pháp hiệu chỉnh được giả định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Cụ thể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cụ thể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Xcac9e8aa89b90d2d4c5a3d7a7353386e79eb48b"/>
    <w:p>
      <w:pPr>
        <w:pStyle w:val="Heading2"/>
      </w:pPr>
      <w:r>
        <w:t xml:space="preserve">4.2 Kết quả phân tích tổng hợp ba tầng (phân tích tổng hợp)</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87</m:t>
        </m:r>
        <m:r>
          <m:rPr>
            <m:sty m:val="p"/>
          </m:rPr>
          <m:t>,</m:t>
        </m:r>
        <m:r>
          <m:t>8</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76,1%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11,8%</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87,8%</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76,1% tổng phương sai và là nguồn dị biệt chủ đạo. Dị biệt giữa các nghiên cứu với nhau (Tầng 3) chỉ chiếm 11,8%,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 trên toàn mẫu:</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Tuy vậy, kết quả omnibus này cần diễn giải thận trọng vì</w:t>
      </w:r>
      <w:r>
        <w:t xml:space="preserve"> </w:t>
      </w:r>
      <w:r>
        <w:rPr>
          <w:bCs/>
          <w:b/>
        </w:rPr>
        <w:t xml:space="preserve">không bền vững</w:t>
      </w:r>
      <w:r>
        <w:t xml:space="preserve">: như trình bày dưới đây, toàn bộ ý nghĩa thống kê do một ô nhỏ duy nhất (Frontier,</w:t>
      </w:r>
      <w:r>
        <w:t xml:space="preserve"> </w:t>
      </w:r>
      <m:oMath>
        <m:r>
          <m:t>K</m:t>
        </m:r>
        <m:r>
          <m:rPr>
            <m:sty m:val="p"/>
          </m:rPr>
          <m:t>=</m:t>
        </m:r>
        <m:r>
          <m:t>3</m:t>
        </m:r>
      </m:oMath>
      <w:r>
        <w:t xml:space="preserve">) tạo ra, và kiểm định nhạy cảm bỏ ô này, ước lượng lại trên bốn chế độ đông dữ liệu (I/II/III/MX,</w:t>
      </w:r>
      <w:r>
        <w:t xml:space="preserve"> </w:t>
      </w:r>
      <m:oMath>
        <m:r>
          <m:t>K</m:t>
        </m:r>
        <m:r>
          <m:rPr>
            <m:sty m:val="p"/>
          </m:rPr>
          <m:t>=</m:t>
        </m:r>
        <m:r>
          <m:t>285</m:t>
        </m:r>
      </m:oMath>
      <w:r>
        <w:t xml:space="preserve">), đưa</w:t>
      </w:r>
      <w:r>
        <w:t xml:space="preserve"> </w:t>
      </w:r>
      <m:oMath>
        <m:sSub>
          <m:e>
            <m:r>
              <m:t>Q</m:t>
            </m:r>
          </m:e>
          <m:sub>
            <m:r>
              <m:t>M</m:t>
            </m:r>
          </m:sub>
        </m:sSub>
      </m:oMath>
      <w:r>
        <w:t xml:space="preserve"> </w:t>
      </w:r>
      <w:r>
        <w:t xml:space="preserve">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ngang bằng với cDAI và DPL. Nói cách khác, ở cấp phân tích tổng hợp,</w:t>
      </w:r>
      <w:r>
        <w:t xml:space="preserve"> </w:t>
      </w:r>
      <w:r>
        <w:rPr>
          <w:bCs/>
          <w:b/>
        </w:rPr>
        <w:t xml:space="preserve">điều tiết thể chế trực tiếp dưới dạng hiệu ứng chính phân nhóm là yếu và không vững chắc</w:t>
      </w:r>
      <w:r>
        <w:t xml:space="preserve">. Đây không phải hạn chế làm suy yếu luận án, mà chính là khoảng trống định hướng cho phần tiếp theo: tính ngữ cảnh thể chế của quan hệ I-P không bộc lộ qua việc gộp chủ hiệu ứng phân nhóm ở cấp văn liệu, mà chỉ hiện ra khi mô hình hóa</w:t>
      </w:r>
      <w:r>
        <w:t xml:space="preserve"> </w:t>
      </w:r>
      <w:r>
        <w:rPr>
          <w:bCs/>
          <w:b/>
        </w:rPr>
        <w:t xml:space="preserve">có điều kiện (tương tác)</w:t>
      </w:r>
      <w:r>
        <w:t xml:space="preserve"> </w:t>
      </w:r>
      <w:r>
        <w:t xml:space="preserve">ở cấp doanh nghiệp (Mục 4.3).</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gần như hoàn toàn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Ô này chỉ dựa trên ba mức độ ảnh hưởng, trong đó có một giá trị ngoại lai, nên rất mong manh về mặt thống kê; kiểm định nhạy cảm bỏ ô Frontier đưa omnibus liên nhóm về</w:t>
      </w:r>
      <w:r>
        <w:t xml:space="preserve"> </w:t>
      </w:r>
      <m:oMath>
        <m:sSub>
          <m:e>
            <m:r>
              <m:t>Q</m:t>
            </m:r>
          </m:e>
          <m:sub>
            <m:r>
              <m:t>M</m:t>
            </m:r>
          </m:sub>
        </m:sSub>
        <m:r>
          <m:rPr>
            <m:sty m:val="p"/>
          </m:rPr>
          <m:t>=</m:t>
        </m:r>
        <m:r>
          <m:t>1</m:t>
        </m:r>
        <m:r>
          <m:rPr>
            <m:sty m:val="p"/>
          </m:rPr>
          <m:t>,</m:t>
        </m:r>
        <m:r>
          <m:t>49</m:t>
        </m:r>
      </m:oMath>
      <w:r>
        <w:t xml:space="preserve"> </w:t>
      </w:r>
      <w:r>
        <w:t xml:space="preserve">(</w:t>
      </w:r>
      <m:oMath>
        <m:r>
          <m:t>d</m:t>
        </m:r>
        <m:r>
          <m:t>f</m:t>
        </m:r>
        <m:r>
          <m:rPr>
            <m:sty m:val="p"/>
          </m:rPr>
          <m:t>=</m:t>
        </m:r>
        <m:r>
          <m:t>3</m:t>
        </m:r>
      </m:oMath>
      <w:r>
        <w:t xml:space="preserve">,</w:t>
      </w:r>
      <w:r>
        <w:t xml:space="preserve"> </w:t>
      </w:r>
      <m:oMath>
        <m:r>
          <m:t>p</m:t>
        </m:r>
        <m:r>
          <m:rPr>
            <m:sty m:val="p"/>
          </m:rPr>
          <m:t>=</m:t>
        </m:r>
        <m:r>
          <m:rPr>
            <m:sty m:val="p"/>
          </m:rPr>
          <m:t>,</m:t>
        </m:r>
        <m:r>
          <m:t>68</m:t>
        </m:r>
      </m:oMath>
      <w:r>
        <w:t xml:space="preserve">), không có ý nghĩa. Do đó phân tích tổng hợp</w:t>
      </w:r>
      <w:r>
        <w:t xml:space="preserve"> </w:t>
      </w:r>
      <w:r>
        <w:rPr>
          <w:bCs/>
          <w:b/>
        </w:rPr>
        <w:t xml:space="preserve">không</w:t>
      </w:r>
      <w:r>
        <w:t xml:space="preserve"> </w:t>
      </w:r>
      <w:r>
        <w:t xml:space="preserve">cung cấp bằng chứng vững chắc về một dải biến thiên thể chế đơn điệu, cũng không về điều tiết thể chế trực tiếp nói chung; điều vững chắc duy nhất là hiệu ứng I-P dương nhỏ tương đối đồng nhất giữa các chế độ đông dữ liệu. Khoảng trống này được lấp ở cấp doanh nghiệp: phân tích đa quốc gia (Mục 4.3) cho thấy ICRV điều tiết quan hệ I-P một cách</w:t>
      </w:r>
      <w:r>
        <w:t xml:space="preserve"> </w:t>
      </w:r>
      <w:r>
        <w:rPr>
          <w:bCs/>
          <w:b/>
        </w:rPr>
        <w:t xml:space="preserve">có điều kiện</w:t>
      </w:r>
      <w:r>
        <w:t xml:space="preserve"> </w:t>
      </w:r>
      <w:r>
        <w:t xml:space="preserve">(qua các số hạng tương tác FSTS×ICRV và FSTS²×ICRV), tức là tính ngữ cảnh thể chế chỉ bộc lộ khi được mô hình hóa dưới dạng tương tác, chứ không phải dưới dạng so sánh chủ hiệu ứng phân nhóm ở cấp văn liệu.</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Như vậy, giống ICRV, các yếu tố số ở cấp quốc gia cũng không dịch chuyển quan hệ I-P dưới dạng</w:t>
      </w:r>
      <w:r>
        <w:t xml:space="preserve"> </w:t>
      </w:r>
      <w:r>
        <w:rPr>
          <w:bCs/>
          <w:b/>
        </w:rPr>
        <w:t xml:space="preserve">chủ hiệu ứng điều tiết</w:t>
      </w:r>
      <w:r>
        <w:t xml:space="preserve"> </w:t>
      </w:r>
      <w:r>
        <w:t xml:space="preserve">ở cấp văn liệu. Mẫu hình thống nhất này, không một chủ hiệu ứng điều tiết nào (thể chế hay số) vững chắc ở cấp tổng hợp, chính là cơ sở để chuyển sang đặc tả</w:t>
      </w:r>
      <w:r>
        <w:t xml:space="preserve"> </w:t>
      </w:r>
      <w:r>
        <w:rPr>
          <w:bCs/>
          <w:b/>
        </w:rPr>
        <w:t xml:space="preserve">có điều kiện</w:t>
      </w:r>
      <w:r>
        <w:t xml:space="preserve">: vai trò số chỉ được kỳ vọng bộc lộ khi tương tác với bối cảnh thể chế (cơ chế</w:t>
      </w:r>
      <w:r>
        <w:t xml:space="preserve"> </w:t>
      </w:r>
      <w:r>
        <w:t xml:space="preserve">“</w:t>
      </w:r>
      <w:r>
        <w:t xml:space="preserve">thay thế số cho thể chế</w:t>
      </w:r>
      <w:r>
        <w:t xml:space="preserve">”</w:t>
      </w:r>
      <w:r>
        <w:t xml:space="preserve">, DAI×ICRV), điều được kiểm định trực tiếp ở cấp doanh nghiệp trong phân tích đa quốc gia và là đóng góp thực nghiệm cốt lõi của luận án.</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w:t>
      </w:r>
      <w:r>
        <w:t xml:space="preserve"> </w:t>
      </w:r>
      <w:r>
        <w:rPr>
          <w:bCs/>
          <w:b/>
        </w:rPr>
        <w:t xml:space="preserve">sáu kiểm định bổ sung cho nhau</w:t>
      </w:r>
      <w:r>
        <w:t xml:space="preserve">, mỗi kiểm định có giả định riêng và điểm yếu riêng, nhằm bao quát hiệu ứng hiệu chỉnh thay vì ước lượng một điểm.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(mẫu nhỏ hơn) có xu hướng báo cáo mức độ ảnh hưởng thấp hơn, phù hợp với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nhưng phương pháp này được biết là có thể</w:t>
      </w:r>
      <w:r>
        <w:t xml:space="preserve"> </w:t>
      </w:r>
      <w:r>
        <w:rPr>
          <w:iCs/>
          <w:i/>
        </w:rPr>
        <w:t xml:space="preserve">điều chỉnh quá mức</w:t>
      </w:r>
      <w:r>
        <w:t xml:space="preserve"> </w:t>
      </w:r>
      <w:r>
        <w:t xml:space="preserve">dưới điều kiện dị biệt cao (</w:t>
      </w:r>
      <m:oMath>
        <m:sSup>
          <m:e>
            <m:r>
              <m:t>I</m:t>
            </m:r>
          </m:e>
          <m:sup>
            <m:r>
              <m:t>2</m:t>
            </m:r>
          </m:sup>
        </m:sSup>
        <m:r>
          <m:rPr>
            <m:sty m:val="p"/>
          </m:rPr>
          <m:t>&gt;</m:t>
        </m:r>
        <m:r>
          <m:t>80</m:t>
        </m:r>
        <m:r>
          <m:rPr>
            <m:sty m:val="p"/>
          </m:rPr>
          <m:t>%</m:t>
        </m:r>
      </m:oMath>
      <w:r>
        <w:t xml:space="preserve">; Terrin et al., 2003). Để bao quát hiệu ứng hiệu chỉnh, phân tích bổ sung hai phương pháp model-based:</w:t>
      </w:r>
      <w:r>
        <w:t xml:space="preserve"> </w:t>
      </w:r>
      <w:r>
        <w:rPr>
          <w:bCs/>
          <w:b/>
        </w:rPr>
        <w:t xml:space="preserve">PET-PEESE</w:t>
      </w:r>
      <w:r>
        <w:t xml:space="preserve"> </w:t>
      </w:r>
      <w:r>
        <w:t xml:space="preserve">(Stanley &amp; Doucouliagos, 2014) cho</w:t>
      </w:r>
      <w:r>
        <w:t xml:space="preserve"> </w:t>
      </w:r>
      <m:oMath>
        <m:sSub>
          <m:e>
            <m:r>
              <m:t>r</m:t>
            </m:r>
          </m:e>
          <m:sub>
            <m:r>
              <m:rPr>
                <m:nor/>
                <m:sty m:val="p"/>
              </m:rPr>
              <m:t>adj</m:t>
            </m:r>
          </m:sub>
        </m:sSub>
        <m:r>
          <m:rPr>
            <m:sty m:val="p"/>
          </m:rPr>
          <m:t>=</m:t>
        </m:r>
        <m:r>
          <m:t>0</m:t>
        </m:r>
        <m:r>
          <m:rPr>
            <m:sty m:val="p"/>
          </m:rPr>
          <m:t>,</m:t>
        </m:r>
        <m:r>
          <m:t>061</m:t>
        </m:r>
      </m:oMath>
      <w:r>
        <w:t xml:space="preserve"> </w:t>
      </w:r>
      <w:r>
        <w:t xml:space="preserve">(95% CI [0,042; 0,080]), mức điều chỉnh nhẹ;</w:t>
      </w:r>
      <w:r>
        <w:t xml:space="preserve"> </w:t>
      </w:r>
      <w:r>
        <w:rPr>
          <w:bCs/>
          <w:b/>
        </w:rPr>
        <w:t xml:space="preserve">mô hình lựa chọn ba tham số Vevea-Hedges</w:t>
      </w:r>
      <w:r>
        <w:t xml:space="preserve"> </w:t>
      </w:r>
      <w:r>
        <w:t xml:space="preserve">(Vevea &amp; Hedges, 1995; Hedges &amp; Vevea, 1996) cho</w:t>
      </w:r>
      <w:r>
        <w:t xml:space="preserve"> </w:t>
      </w:r>
      <m:oMath>
        <m:sSub>
          <m:e>
            <m:r>
              <m:t>r</m:t>
            </m:r>
          </m:e>
          <m:sub>
            <m:r>
              <m:rPr>
                <m:nor/>
                <m:sty m:val="p"/>
              </m:rPr>
              <m:t>adj</m:t>
            </m:r>
          </m:sub>
        </m:sSub>
        <m:r>
          <m:rPr>
            <m:sty m:val="p"/>
          </m:rPr>
          <m:t>=</m:t>
        </m:r>
        <m:r>
          <m:t>0</m:t>
        </m:r>
        <m:r>
          <m:rPr>
            <m:sty m:val="p"/>
          </m:rPr>
          <m:t>,</m:t>
        </m:r>
        <m:r>
          <m:t>077</m:t>
        </m:r>
      </m:oMath>
      <w:r>
        <w:t xml:space="preserve"> </w:t>
      </w:r>
      <w:r>
        <w:t xml:space="preserve">(95% CI [0,042; 0,111]) với kiểm định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khẳng định</w:t>
      </w:r>
      <w:r>
        <w:t xml:space="preserve"> </w:t>
      </w:r>
      <w:r>
        <w:rPr>
          <w:iCs/>
          <w:i/>
        </w:rPr>
        <w:t xml:space="preserve">selection thực sự tồn tại</w:t>
      </w:r>
      <w:r>
        <w:t xml:space="preserve"> </w:t>
      </w:r>
      <w:r>
        <w:t xml:space="preserve">nhưng độ lớn điều chỉnh khiêm tốn hơn.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w:t>
      </w:r>
      <w:r>
        <w:t xml:space="preserve"> </w:t>
      </w:r>
      <w:r>
        <w:rPr>
          <w:bCs/>
          <w:b/>
        </w:rPr>
        <w:t xml:space="preserve">Cách đọc tổng hợp:</w:t>
      </w:r>
      <w:r>
        <w:t xml:space="preserve"> </w:t>
      </w:r>
      <w:r>
        <w:t xml:space="preserve">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cách diễn giải rằng</w:t>
      </w:r>
      <w:r>
        <w:t xml:space="preserve"> </w:t>
      </w:r>
      <w:r>
        <w:t xml:space="preserve">“</w:t>
      </w:r>
      <w:r>
        <w:t xml:space="preserve">trường nghiên cứu I-P bị thổi phồng</w:t>
      </w:r>
      <w:r>
        <w:t xml:space="preserve">”</w:t>
      </w:r>
      <w:r>
        <w:t xml:space="preserve"> </w:t>
      </w:r>
      <w:r>
        <w:t xml:space="preserve">được khẳng định trên cả sáu kiểm định,</w:t>
      </w:r>
      <w:r>
        <w:t xml:space="preserve"> </w:t>
      </w:r>
      <w:r>
        <w:rPr>
          <w:iCs/>
          <w:i/>
        </w:rPr>
        <w:t xml:space="preserve">mức</w:t>
      </w:r>
      <w:r>
        <w:t xml:space="preserve"> </w:t>
      </w:r>
      <w:r>
        <w:t xml:space="preserve">thổi phồng phụ thuộc giả định selection-process được áp dụng.</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87</m:t>
        </m:r>
        <m:r>
          <m:rPr>
            <m:sty m:val="p"/>
          </m:rPr>
          <m:t>,</m:t>
        </m:r>
        <m:r>
          <m:t>8</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2211c9df96706adf979c72912d0dfbc1dae7ce1"/>
    <w:p>
      <w:pPr>
        <w:pStyle w:val="Heading2"/>
      </w:pPr>
      <w:r>
        <w:t xml:space="preserve">4.3 Kết quả đa quốc gia trên 45 nền kinh tế (phân tích đa quốc gia 45 nền kinh tế)</w:t>
      </w:r>
    </w:p>
    <w:bookmarkStart w:id="31"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Điều quan trọng cần làm rõ là quan hệ giữa hai cấp bằng chứng. Điều tiết thể chế ở cấp doanh nghiệp, qua hai số hạng tương tác FSTS×ICRV và FSTS²×ICRV (đều</w:t>
      </w:r>
      <w:r>
        <w:t xml:space="preserve"> </w:t>
      </w:r>
      <m:oMath>
        <m:r>
          <m:t>p</m:t>
        </m:r>
        <m:r>
          <m:rPr>
            <m:sty m:val="p"/>
          </m:rPr>
          <m:t>&lt;</m:t>
        </m:r>
        <m:r>
          <m:rPr>
            <m:sty m:val="p"/>
          </m:rPr>
          <m:t>,</m:t>
        </m:r>
        <m:r>
          <m:t>001</m:t>
        </m:r>
      </m:oMath>
      <w:r>
        <w:t xml:space="preserve">), là</w:t>
      </w:r>
      <w:r>
        <w:t xml:space="preserve"> </w:t>
      </w:r>
      <w:r>
        <w:rPr>
          <w:bCs/>
          <w:b/>
        </w:rPr>
        <w:t xml:space="preserve">vững chắc</w:t>
      </w:r>
      <w:r>
        <w:t xml:space="preserve"> </w:t>
      </w:r>
      <w:r>
        <w:t xml:space="preserve">và là kết quả trọng tâm của phân tích đa quốc gia. Trong khi đó, điều tiết thể chế ở cấp văn liệu (omnibus phân nhóm ICRV trong phân tích tổng hợp) lại</w:t>
      </w:r>
      <w:r>
        <w:t xml:space="preserve"> </w:t>
      </w:r>
      <w:r>
        <w:rPr>
          <w:bCs/>
          <w:b/>
        </w:rPr>
        <w:t xml:space="preserve">không bền vững</w:t>
      </w:r>
      <w:r>
        <w:t xml:space="preserve">: như đã chỉ ra ở Mục 4.2.3, bỏ ô Frontier (</w:t>
      </w:r>
      <m:oMath>
        <m:r>
          <m:t>K</m:t>
        </m:r>
        <m:r>
          <m:rPr>
            <m:sty m:val="p"/>
          </m:rPr>
          <m:t>=</m:t>
        </m:r>
        <m:r>
          <m:t>3</m:t>
        </m:r>
      </m:oMath>
      <w:r>
        <w:t xml:space="preserve">) thì omnibus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Hai cấp phân tích vì vậy</w:t>
      </w:r>
      <w:r>
        <w:t xml:space="preserve"> </w:t>
      </w:r>
      <w:r>
        <w:rPr>
          <w:bCs/>
          <w:b/>
        </w:rPr>
        <w:t xml:space="preserve">bổ sung chứ không trùng lặp</w:t>
      </w:r>
      <w:r>
        <w:t xml:space="preserve">: đặc tả có điều kiện (tương tác) ở cấp doanh nghiệp làm lộ ra vai trò điều tiết của chế độ thể chế mà việc gộp chủ hiệu ứng phân nhóm ở cấp tổng hợp không phát hiện được một cách vững chắc. Đây chính là giá trị gia tăng cốt lõi của phân tích sơ cấp 45 nền kinh tế so với tổng hợp văn liệu hiện có, và là lý do biện minh cho việc luận án không dừng ở meta-analysis mà tiến đến mô hình hóa tương tác ở cấp vi mô.</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riêng phần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34"/>
    <w:bookmarkEnd w:id="35"/>
    <w:bookmarkStart w:id="40"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Start w:id="39" w:name="Xddeb49496c98b97fc07ec0deb4668c68609a243"/>
    <w:p>
      <w:pPr>
        <w:pStyle w:val="Heading3"/>
      </w:pPr>
      <w:r>
        <w:t xml:space="preserve">4.4.4 Ấn Độ, chế độ chuyển đổi thu nhập trung bình thấp với biến động thể chế cực đoan (Ấn Độ)</w:t>
      </w:r>
    </w:p>
    <w:p>
      <w:pPr>
        <w:pStyle w:val="FirstParagraph"/>
      </w:pPr>
      <w:r>
        <w:t xml:space="preserve">Phân tích trên ba đợt WBES Ấn Độ (2014 PICS3,</w:t>
      </w:r>
      <w:r>
        <w:t xml:space="preserve"> </w:t>
      </w:r>
      <m:oMath>
        <m:sSub>
          <m:e>
            <m:r>
              <m:t>N</m:t>
            </m:r>
          </m:e>
          <m:sub>
            <m:r>
              <m:t>p</m:t>
            </m:r>
            <m:r>
              <m:t>h</m:t>
            </m:r>
            <m:r>
              <m:t>â</m:t>
            </m:r>
            <m:r>
              <m:t>n</m:t>
            </m:r>
            <m:r>
              <m:t>t</m:t>
            </m:r>
            <m:r>
              <m:t>í</m:t>
            </m:r>
            <m:r>
              <m:t>c</m:t>
            </m:r>
            <m:r>
              <m:t>h</m:t>
            </m:r>
          </m:sub>
        </m:sSub>
        <m:r>
          <m:rPr>
            <m:sty m:val="p"/>
          </m:rPr>
          <m:t>=</m:t>
        </m:r>
        <m:r>
          <m:t>8.941</m:t>
        </m:r>
      </m:oMath>
      <w:r>
        <w:t xml:space="preserve">; 2022 BEE,</w:t>
      </w:r>
      <w:r>
        <w:t xml:space="preserve"> </w:t>
      </w:r>
      <m:oMath>
        <m:sSub>
          <m:e>
            <m:r>
              <m:t>N</m:t>
            </m:r>
          </m:e>
          <m:sub>
            <m:r>
              <m:t>p</m:t>
            </m:r>
            <m:r>
              <m:t>h</m:t>
            </m:r>
            <m:r>
              <m:t>â</m:t>
            </m:r>
            <m:r>
              <m:t>n</m:t>
            </m:r>
            <m:r>
              <m:t>t</m:t>
            </m:r>
            <m:r>
              <m:t>í</m:t>
            </m:r>
            <m:r>
              <m:t>c</m:t>
            </m:r>
            <m:r>
              <m:t>h</m:t>
            </m:r>
          </m:sub>
        </m:sSub>
        <m:r>
          <m:rPr>
            <m:sty m:val="p"/>
          </m:rPr>
          <m:t>=</m:t>
        </m:r>
        <m:r>
          <m:t>9.300</m:t>
        </m:r>
      </m:oMath>
      <w:r>
        <w:t xml:space="preserve">; 2025 BREADY,</w:t>
      </w:r>
      <w:r>
        <w:t xml:space="preserve"> </w:t>
      </w:r>
      <m:oMath>
        <m:sSub>
          <m:e>
            <m:r>
              <m:t>N</m:t>
            </m:r>
          </m:e>
          <m:sub>
            <m:r>
              <m:t>p</m:t>
            </m:r>
            <m:r>
              <m:t>h</m:t>
            </m:r>
            <m:r>
              <m:t>â</m:t>
            </m:r>
            <m:r>
              <m:t>n</m:t>
            </m:r>
            <m:r>
              <m:t>t</m:t>
            </m:r>
            <m:r>
              <m:t>í</m:t>
            </m:r>
            <m:r>
              <m:t>c</m:t>
            </m:r>
            <m:r>
              <m:t>h</m:t>
            </m:r>
          </m:sub>
        </m:sSub>
        <m:r>
          <m:rPr>
            <m:sty m:val="p"/>
          </m:rPr>
          <m:t>=</m:t>
        </m:r>
        <m:r>
          <m:t>10.476</m:t>
        </m:r>
      </m:oMath>
      <w:r>
        <w:t xml:space="preserve">) cho mẫu gộp</w:t>
      </w:r>
      <w:r>
        <w:t xml:space="preserve"> </w:t>
      </w:r>
      <m:oMath>
        <m:r>
          <m:t>N</m:t>
        </m:r>
        <m:r>
          <m:rPr>
            <m:sty m:val="p"/>
          </m:rPr>
          <m:t>=</m:t>
        </m:r>
        <m:r>
          <m:t>28.717</m:t>
        </m:r>
      </m:oMath>
      <w:r>
        <w:t xml:space="preserve">, lớn nhất trong các nghiên cứu đơn quốc gia của luận án. Khoảng thời gian 2014–2025 bao trùm một loạt cú sốc thể chế chưa từng có trong lịch sử Ấn Độ hiện đại: bãi bỏ tiền mặt tháng 11/2016, ban hành Luật Phá sản và Mất khả năng thanh toán (IBC) tháng 5/2016, áp dụng Thuế Hàng hóa và Dịch vụ (GST) tháng 7/2017, ra mắt Giao diện Thanh toán Hợp nhất (UPI) tháng 4/2016 đạt mức 12 tỷ giao dịch/tháng năm 2024, triển khai sáng kiến Sản xuất tại Ấn Độ và chương trình Liên kết Khuyến khích Sản xuất (PLI) năm 2020, cùng chính sách Tự chủ Ấn Độ (Atmanirbhar Bharat) định hướng lại chiến lược quốc gia theo hướng nội địa hóa giai đoạn 2020.</w:t>
      </w:r>
    </w:p>
    <w:p>
      <w:pPr>
        <w:pStyle w:val="BodyText"/>
      </w:pPr>
      <w:r>
        <w:t xml:space="preserve">Kết quả thực nghiệm cho thấy một dạng phá vỡ ngưỡng (threshold collapse) không quan sát được ở bất kỳ bối cảnh quốc gia nào khác trong portfolio. Đợt 2014 ghi nhận quan hệ U ngược cổ điển với hệ số bậc nhất dương (</w:t>
      </w:r>
      <m:oMath>
        <m:sSub>
          <m:e>
            <m:r>
              <m:t>β</m:t>
            </m:r>
          </m:e>
          <m:sub>
            <m:r>
              <m:t>1</m:t>
            </m:r>
          </m:sub>
        </m:sSub>
        <m:r>
          <m:rPr>
            <m:sty m:val="p"/>
          </m:rPr>
          <m:t>=</m:t>
        </m:r>
        <m:r>
          <m:rPr>
            <m:sty m:val="p"/>
          </m:rPr>
          <m:t>+</m:t>
        </m:r>
        <m:r>
          <m:t>1</m:t>
        </m:r>
        <m:r>
          <m:rPr>
            <m:sty m:val="p"/>
          </m:rPr>
          <m:t>,</m:t>
        </m:r>
        <m:r>
          <m:t>865</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508</m:t>
        </m:r>
      </m:oMath>
      <w:r>
        <w:t xml:space="preserve">,</w:t>
      </w:r>
      <w:r>
        <w:t xml:space="preserve"> </w:t>
      </w:r>
      <m:oMath>
        <m:r>
          <m:t>p</m:t>
        </m:r>
        <m:r>
          <m:rPr>
            <m:sty m:val="p"/>
          </m:rPr>
          <m:t>&lt;</m:t>
        </m:r>
        <m:r>
          <m:rPr>
            <m:sty m:val="p"/>
          </m:rPr>
          <m:t>,</m:t>
        </m:r>
        <m:r>
          <m:t>001</m:t>
        </m:r>
      </m:oMath>
      <w:r>
        <w:t xml:space="preserve">), điểm uốn ước lượng tại</w:t>
      </w:r>
      <w:r>
        <w:t xml:space="preserve"> </w:t>
      </w:r>
      <m:oMath>
        <m:r>
          <m:t>T</m:t>
        </m:r>
        <m:r>
          <m:t>P</m:t>
        </m:r>
        <m:r>
          <m:rPr>
            <m:sty m:val="p"/>
          </m:rPr>
          <m:t>=</m:t>
        </m:r>
        <m:r>
          <m:t>61</m:t>
        </m:r>
        <m:r>
          <m:rPr>
            <m:sty m:val="p"/>
          </m:rPr>
          <m:t>,</m:t>
        </m:r>
        <m:r>
          <m:t>8</m:t>
        </m:r>
        <m:r>
          <m:rPr>
            <m:sty m:val="p"/>
          </m:rPr>
          <m:t>%</m:t>
        </m:r>
      </m:oMath>
      <w:r>
        <w:t xml:space="preserve"> </w:t>
      </w:r>
      <w:r>
        <w:t xml:space="preserve">FSTS (khoảng tin cậy delta-method 95%:</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Lind–Mehlum xác nhận đường cong U ngược ở mức</w:t>
      </w:r>
      <w:r>
        <w:t xml:space="preserve"> </w:t>
      </w:r>
      <m:oMath>
        <m:r>
          <m:t>p</m:t>
        </m:r>
        <m:r>
          <m:rPr>
            <m:sty m:val="p"/>
          </m:rPr>
          <m:t>&lt;</m:t>
        </m:r>
        <m:r>
          <m:rPr>
            <m:sty m:val="p"/>
          </m:rPr>
          <m:t>,</m:t>
        </m:r>
        <m:r>
          <m:t>001</m:t>
        </m:r>
      </m:oMath>
      <w:r>
        <w:t xml:space="preserve">. Đợt 2022, sau ba cú sốc thể chế đầu tiên (bãi bỏ tiền mặt, GST, IBC), đường cong U ngược vẫn duy trì nhưng điểm uốn đã dịch chuyển đáng kể vào trong:</w:t>
      </w:r>
      <w:r>
        <w:t xml:space="preserve"> </w:t>
      </w:r>
      <m:oMath>
        <m:sSub>
          <m:e>
            <m:r>
              <m:t>β</m:t>
            </m:r>
          </m:e>
          <m:sub>
            <m:r>
              <m:t>1</m:t>
            </m:r>
          </m:sub>
        </m:sSub>
        <m:r>
          <m:rPr>
            <m:sty m:val="p"/>
          </m:rPr>
          <m:t>=</m:t>
        </m:r>
        <m:r>
          <m:rPr>
            <m:sty m:val="p"/>
          </m:rPr>
          <m:t>+</m:t>
        </m:r>
        <m:r>
          <m:t>1</m:t>
        </m:r>
        <m:r>
          <m:rPr>
            <m:sty m:val="p"/>
          </m:rPr>
          <m:t>,</m:t>
        </m:r>
        <m:r>
          <m:t>542</m:t>
        </m:r>
      </m:oMath>
      <w:r>
        <w:t xml:space="preserve">,</w:t>
      </w:r>
      <w:r>
        <w:t xml:space="preserve"> </w:t>
      </w:r>
      <m:oMath>
        <m:sSub>
          <m:e>
            <m:r>
              <m:t>β</m:t>
            </m:r>
          </m:e>
          <m:sub>
            <m:r>
              <m:t>2</m:t>
            </m:r>
          </m:sub>
        </m:sSub>
        <m:r>
          <m:rPr>
            <m:sty m:val="p"/>
          </m:rPr>
          <m:t>=</m:t>
        </m:r>
        <m:r>
          <m:rPr>
            <m:sty m:val="p"/>
          </m:rPr>
          <m:t>−</m:t>
        </m:r>
        <m:r>
          <m:t>1</m:t>
        </m:r>
        <m:r>
          <m:rPr>
            <m:sty m:val="p"/>
          </m:rPr>
          <m:t>,</m:t>
        </m:r>
        <m:r>
          <m:t>893</m:t>
        </m:r>
      </m:oMath>
      <w:r>
        <w:t xml:space="preserve">,</w:t>
      </w:r>
      <w:r>
        <w:t xml:space="preserve"> </w:t>
      </w:r>
      <m:oMath>
        <m:r>
          <m:t>T</m:t>
        </m:r>
        <m:r>
          <m:t>P</m:t>
        </m:r>
        <m:r>
          <m:rPr>
            <m:sty m:val="p"/>
          </m:rPr>
          <m:t>=</m:t>
        </m:r>
        <m:r>
          <m:t>40</m:t>
        </m:r>
        <m:r>
          <m:rPr>
            <m:sty m:val="p"/>
          </m:rPr>
          <m:t>,</m:t>
        </m:r>
        <m:r>
          <m:t>7</m:t>
        </m:r>
        <m:r>
          <m:rPr>
            <m:sty m:val="p"/>
          </m:rPr>
          <m:t>%</m:t>
        </m:r>
      </m:oMath>
      <w:r>
        <w:t xml:space="preserve"> </w:t>
      </w:r>
      <w:r>
        <w:t xml:space="preserve">(khoảng tin cậy 95%:</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Đợt 2025, hệ số bậc hai mất ý nghĩa thống kê (</w:t>
      </w:r>
      <m:oMath>
        <m:sSub>
          <m:e>
            <m:r>
              <m:t>β</m:t>
            </m:r>
          </m:e>
          <m:sub>
            <m:r>
              <m:t>2</m:t>
            </m:r>
          </m:sub>
        </m:sSub>
        <m:r>
          <m:rPr>
            <m:sty m:val="p"/>
          </m:rPr>
          <m:t>=</m:t>
        </m:r>
        <m:r>
          <m:rPr>
            <m:sty m:val="p"/>
          </m:rPr>
          <m:t>−</m:t>
        </m:r>
        <m:r>
          <m:t>0</m:t>
        </m:r>
        <m:r>
          <m:rPr>
            <m:sty m:val="p"/>
          </m:rPr>
          <m:t>,</m:t>
        </m:r>
        <m:r>
          <m:t>160</m:t>
        </m:r>
      </m:oMath>
      <w:r>
        <w:t xml:space="preserve">,</w:t>
      </w:r>
      <w:r>
        <w:t xml:space="preserve"> </w:t>
      </w:r>
      <m:oMath>
        <m:r>
          <m:t>p</m:t>
        </m:r>
        <m:r>
          <m:rPr>
            <m:sty m:val="p"/>
          </m:rPr>
          <m:t>=</m:t>
        </m:r>
        <m:r>
          <m:rPr>
            <m:sty m:val="p"/>
          </m:rPr>
          <m:t>,</m:t>
        </m:r>
        <m:r>
          <m:t>420</m:t>
        </m:r>
      </m:oMath>
      <w:r>
        <w:t xml:space="preserve">), quan hệ trở thành đơn điệu âm trên toàn dải cường độ xuất khẩu thực tế.</w:t>
      </w:r>
    </w:p>
    <w:p>
      <w:pPr>
        <w:pStyle w:val="BodyText"/>
      </w:pPr>
      <w:r>
        <w:t xml:space="preserve">Kiểm định Paternoster so sánh hệ số giữa 2014 và 2025 bác bỏ giả thuyết cân bằng với cường độ cực mạnh:</w:t>
      </w:r>
      <w:r>
        <w:t xml:space="preserve"> </w:t>
      </w:r>
      <m:oMath>
        <m:r>
          <m:t>z</m:t>
        </m:r>
        <m:d>
          <m:dPr>
            <m:begChr m:val="("/>
            <m:endChr m:val=")"/>
            <m:sepChr m:val=""/>
            <m:grow/>
          </m:dPr>
          <m:e>
            <m:r>
              <m:rPr>
                <m:nor/>
                <m:sty m:val="p"/>
              </m:rPr>
              <m:t>FSTS</m:t>
            </m:r>
          </m:e>
        </m:d>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4</m:t>
        </m:r>
        <m:r>
          <m:rPr>
            <m:sty m:val="p"/>
          </m:rPr>
          <m:t>,</m:t>
        </m:r>
        <m:r>
          <m:t>17</m:t>
        </m:r>
      </m:oMath>
      <w:r>
        <w:t xml:space="preserve">,</w:t>
      </w:r>
      <w:r>
        <w:t xml:space="preserve"> </w:t>
      </w:r>
      <m:oMath>
        <m:r>
          <m:t>p</m:t>
        </m:r>
        <m:r>
          <m:rPr>
            <m:sty m:val="p"/>
          </m:rPr>
          <m:t>&lt;</m:t>
        </m:r>
        <m:r>
          <m:rPr>
            <m:sty m:val="p"/>
          </m:rPr>
          <m:t>,</m:t>
        </m:r>
        <m:r>
          <m:t>0001</m:t>
        </m:r>
      </m:oMath>
      <w:r>
        <w:t xml:space="preserve"> </w:t>
      </w:r>
      <w:r>
        <w:t xml:space="preserve">dưới sai số chuẩn HC1; dưới sai số chuẩn cụm theo bang (cluster-robust,</w:t>
      </w:r>
      <w:r>
        <w:t xml:space="preserve"> </w:t>
      </w:r>
      <m:oMath>
        <m:r>
          <m:t>G</m:t>
        </m:r>
        <m:r>
          <m:rPr>
            <m:sty m:val="p"/>
          </m:rPr>
          <m:t>=</m:t>
        </m:r>
        <m:r>
          <m:t>24</m:t>
        </m:r>
      </m:oMath>
      <w:r>
        <w:t xml:space="preserve"> </w:t>
      </w:r>
      <w:r>
        <w:t xml:space="preserve">bang), kết quả vẫn có ý nghĩa thống kê:</w:t>
      </w:r>
      <w:r>
        <w:t xml:space="preserve"> </w:t>
      </w:r>
      <m:oMath>
        <m:r>
          <m:t>z</m:t>
        </m:r>
        <m:d>
          <m:dPr>
            <m:begChr m:val="("/>
            <m:endChr m:val=")"/>
            <m:sepChr m:val=""/>
            <m:grow/>
          </m:dPr>
          <m:e>
            <m:r>
              <m:rPr>
                <m:nor/>
                <m:sty m:val="p"/>
              </m:rPr>
              <m:t>FSTS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Đặc tả gộp ba đợt với biến giả đợt khảo sát xác nhận sự dịch chuyển có hệ thống:</w:t>
      </w:r>
      <w:r>
        <w:t xml:space="preserve"> </w:t>
      </w:r>
      <m:oMath>
        <m:r>
          <m:t>β</m:t>
        </m:r>
        <m:d>
          <m:dPr>
            <m:begChr m:val="("/>
            <m:endChr m:val=")"/>
            <m:sepChr m:val=""/>
            <m:grow/>
          </m:dPr>
          <m:e>
            <m:r>
              <m:rPr>
                <m:nor/>
                <m:sty m:val="p"/>
              </m:rPr>
              <m:t>FSTS</m:t>
            </m:r>
            <m:r>
              <m:rPr>
                <m:sty m:val="p"/>
              </m:rPr>
              <m:t>×</m:t>
            </m:r>
            <m:r>
              <m:rPr>
                <m:nor/>
                <m:sty m:val="p"/>
              </m:rPr>
              <m:t>wave</m:t>
            </m:r>
            <m:r>
              <m:rPr>
                <m:sty m:val="p"/>
              </m:rPr>
              <m:t>_</m:t>
            </m:r>
            <m:r>
              <m:t>2025</m:t>
            </m:r>
          </m:e>
        </m:d>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cho thấy độ dốc đường cong I-P đã thay đổi căn bản giữa 2014 và 2025.</w:t>
      </w:r>
    </w:p>
    <w:p>
      <w:pPr>
        <w:pStyle w:val="BodyText"/>
      </w:pPr>
      <w:r>
        <w:rPr>
          <w:bCs/>
          <w:b/>
        </w:rPr>
        <w:t xml:space="preserve">Bảng 4.7.</w:t>
      </w:r>
      <w:r>
        <w:t xml:space="preserve"> </w:t>
      </w:r>
      <w:r>
        <w:rPr>
          <w:iCs/>
          <w:i/>
        </w:rPr>
        <w:t xml:space="preserve">Điểm uốn theo đợt khảo sát, Ấn Độ.</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Đợt khảo sát</w:t>
            </w:r>
          </w:p>
        </w:tc>
        <w:tc>
          <w:tcPr/>
          <w:p>
            <w:pPr>
              <w:pStyle w:val="Compact"/>
              <w:jc w:val="left"/>
            </w:pPr>
            <m:oMath>
              <m:r>
                <m:t>N</m:t>
              </m:r>
            </m:oMath>
            <w:r>
              <w:t xml:space="preserve"> </w:t>
            </w:r>
            <w:r>
              <w:t xml:space="preserve">phân tích</w:t>
            </w:r>
          </w:p>
        </w:tc>
        <w:tc>
          <w:tcPr/>
          <w:p>
            <w:pPr>
              <w:pStyle w:val="Compact"/>
              <w:jc w:val="left"/>
            </w:pPr>
            <w:r>
              <w:t xml:space="preserve">Điểm uốn (TP)</w:t>
            </w:r>
          </w:p>
        </w:tc>
        <w:tc>
          <w:tcPr/>
          <w:p>
            <w:pPr>
              <w:pStyle w:val="Compact"/>
              <w:jc w:val="left"/>
            </w:pPr>
            <w:r>
              <w:t xml:space="preserve">Lind–Mehlum</w:t>
            </w:r>
          </w:p>
        </w:tc>
        <w:tc>
          <w:tcPr/>
          <w:p>
            <w:pPr>
              <w:pStyle w:val="Compact"/>
              <w:jc w:val="left"/>
            </w:pPr>
            <w:r>
              <w:t xml:space="preserve">Nhận xét</w:t>
            </w:r>
          </w:p>
        </w:tc>
      </w:tr>
      <w:tr>
        <w:tc>
          <w:tcPr/>
          <w:p>
            <w:pPr>
              <w:pStyle w:val="Compact"/>
              <w:jc w:val="left"/>
            </w:pPr>
            <w:r>
              <w:t xml:space="preserve">2014 (PICS3)</w:t>
            </w:r>
          </w:p>
        </w:tc>
        <w:tc>
          <w:tcPr/>
          <w:p>
            <w:pPr>
              <w:pStyle w:val="Compact"/>
              <w:jc w:val="left"/>
            </w:pPr>
            <w:r>
              <w:t xml:space="preserve">8.941</w:t>
            </w:r>
          </w:p>
        </w:tc>
        <w:tc>
          <w:tcPr/>
          <w:p>
            <w:pPr>
              <w:pStyle w:val="Compact"/>
              <w:jc w:val="left"/>
            </w:pPr>
            <w:r>
              <w:t xml:space="preserve">61,8% FSTS</w:t>
            </w:r>
          </w:p>
        </w:tc>
        <w:tc>
          <w:tcPr/>
          <w:p>
            <w:pPr>
              <w:pStyle w:val="Compact"/>
              <w:jc w:val="left"/>
            </w:pPr>
            <m:oMath>
              <m:r>
                <m:t>p</m:t>
              </m:r>
              <m:r>
                <m:rPr>
                  <m:sty m:val="p"/>
                </m:rPr>
                <m:t>&lt;</m:t>
              </m:r>
              <m:r>
                <m:rPr>
                  <m:sty m:val="p"/>
                </m:rPr>
                <m:t>,</m:t>
              </m:r>
              <m:r>
                <m:t>001</m:t>
              </m:r>
            </m:oMath>
          </w:p>
        </w:tc>
        <w:tc>
          <w:tcPr/>
          <w:p>
            <w:pPr>
              <w:pStyle w:val="Compact"/>
              <w:jc w:val="left"/>
            </w:pPr>
            <w:r>
              <w:t xml:space="preserve">U ngược cổ điển</w:t>
            </w:r>
          </w:p>
        </w:tc>
      </w:tr>
      <w:tr>
        <w:tc>
          <w:tcPr/>
          <w:p>
            <w:pPr>
              <w:pStyle w:val="Compact"/>
              <w:jc w:val="left"/>
            </w:pPr>
            <w:r>
              <w:t xml:space="preserve">2022 (BEE)</w:t>
            </w:r>
          </w:p>
        </w:tc>
        <w:tc>
          <w:tcPr/>
          <w:p>
            <w:pPr>
              <w:pStyle w:val="Compact"/>
              <w:jc w:val="left"/>
            </w:pPr>
            <w:r>
              <w:t xml:space="preserve">9.300</w:t>
            </w:r>
          </w:p>
        </w:tc>
        <w:tc>
          <w:tcPr/>
          <w:p>
            <w:pPr>
              <w:pStyle w:val="Compact"/>
              <w:jc w:val="left"/>
            </w:pPr>
            <w:r>
              <w:t xml:space="preserve">40,7% FSTS</w:t>
            </w:r>
          </w:p>
        </w:tc>
        <w:tc>
          <w:tcPr/>
          <w:p>
            <w:pPr>
              <w:pStyle w:val="Compact"/>
              <w:jc w:val="left"/>
            </w:pPr>
            <m:oMath>
              <m:r>
                <m:t>p</m:t>
              </m:r>
              <m:r>
                <m:rPr>
                  <m:sty m:val="p"/>
                </m:rPr>
                <m:t>&lt;</m:t>
              </m:r>
              <m:r>
                <m:rPr>
                  <m:sty m:val="p"/>
                </m:rPr>
                <m:t>,</m:t>
              </m:r>
              <m:r>
                <m:t>001</m:t>
              </m:r>
            </m:oMath>
          </w:p>
        </w:tc>
        <w:tc>
          <w:tcPr/>
          <w:p>
            <w:pPr>
              <w:pStyle w:val="Compact"/>
              <w:jc w:val="left"/>
            </w:pPr>
            <w:r>
              <w:t xml:space="preserve">U ngược, TP dịch trong</w:t>
            </w:r>
          </w:p>
        </w:tc>
      </w:tr>
      <w:tr>
        <w:tc>
          <w:tcPr/>
          <w:p>
            <w:pPr>
              <w:pStyle w:val="Compact"/>
              <w:jc w:val="left"/>
            </w:pPr>
            <w:r>
              <w:t xml:space="preserve">2025 (BREADY)</w:t>
            </w:r>
          </w:p>
        </w:tc>
        <w:tc>
          <w:tcPr/>
          <w:p>
            <w:pPr>
              <w:pStyle w:val="Compact"/>
              <w:jc w:val="left"/>
            </w:pPr>
            <w:r>
              <w:t xml:space="preserve">10.476</w:t>
            </w:r>
          </w:p>
        </w:tc>
        <w:tc>
          <w:tcPr/>
          <w:p>
            <w:pPr>
              <w:pStyle w:val="Compact"/>
              <w:jc w:val="left"/>
            </w:pPr>
            <w:r>
              <w:t xml:space="preserve">Không xác định</w:t>
            </w:r>
          </w:p>
        </w:tc>
        <w:tc>
          <w:tcPr/>
          <w:p>
            <w:pPr>
              <w:pStyle w:val="Compact"/>
              <w:jc w:val="left"/>
            </w:pPr>
            <m:oMath>
              <m:r>
                <m:t>p</m:t>
              </m:r>
              <m:r>
                <m:rPr>
                  <m:sty m:val="p"/>
                </m:rPr>
                <m:t>=</m:t>
              </m:r>
              <m:r>
                <m:rPr>
                  <m:sty m:val="p"/>
                </m:rPr>
                <m:t>,</m:t>
              </m:r>
              <m:r>
                <m:t>99</m:t>
              </m:r>
            </m:oMath>
          </w:p>
        </w:tc>
        <w:tc>
          <w:tcPr/>
          <w:p>
            <w:pPr>
              <w:pStyle w:val="Compact"/>
              <w:jc w:val="left"/>
            </w:pPr>
            <w:r>
              <w:t xml:space="preserve">Đường cong sụp đổ</w:t>
            </w:r>
          </w:p>
        </w:tc>
      </w:tr>
    </w:tbl>
    <w:p>
      <w:pPr>
        <w:pStyle w:val="BodyText"/>
      </w:pPr>
      <w:r>
        <w:rPr>
          <w:iCs/>
          <w:i/>
        </w:rPr>
        <w:t xml:space="preserve">Nguồn: phân tích Ấn Độ (Đỗ &amp; Phan, 2026, bản thảo đang chuẩn bị nộp tạp chí MIR).</w:t>
      </w:r>
    </w:p>
    <w:p>
      <w:pPr>
        <w:pStyle w:val="BodyText"/>
      </w:pPr>
      <w:r>
        <w:t xml:space="preserve">Phát hiện ngưỡng phá vỡ ở Ấn Độ trái ngược trực tiếp với kết quả Trung Quốc cũng thuộc chế độ thu nhập trung bình cao (Nhóm III ICRV), nơi điểm uốn được chứng minh là bền vững cấu trúc qua 12 năm tăng trưởng tích lũy (P5 China:</w:t>
      </w:r>
      <w:r>
        <w:t xml:space="preserve"> </w:t>
      </w:r>
      <m:oMath>
        <m:r>
          <m:t>T</m:t>
        </m:r>
        <m:r>
          <m:t>P</m:t>
        </m:r>
        <m:r>
          <m:rPr>
            <m:sty m:val="p"/>
          </m:rPr>
          <m:t>=</m:t>
        </m:r>
        <m:r>
          <m:t>49</m:t>
        </m:r>
        <m:r>
          <m:rPr>
            <m:sty m:val="p"/>
          </m:rPr>
          <m:t>,</m:t>
        </m:r>
        <m:r>
          <m:t>4</m:t>
        </m:r>
        <m:r>
          <m:rPr>
            <m:sty m:val="p"/>
          </m:rPr>
          <m:t>%</m:t>
        </m:r>
      </m:oMath>
      <w:r>
        <w:t xml:space="preserve"> </w:t>
      </w:r>
      <w:r>
        <w:t xml:space="preserve">năm 2012 so với</w:t>
      </w:r>
      <w:r>
        <w:t xml:space="preserve"> </w:t>
      </w:r>
      <m:oMath>
        <m:r>
          <m:t>T</m:t>
        </m:r>
        <m:r>
          <m:t>P</m:t>
        </m:r>
        <m:r>
          <m:rPr>
            <m:sty m:val="p"/>
          </m:rPr>
          <m:t>=</m:t>
        </m:r>
        <m:r>
          <m:t>47</m:t>
        </m:r>
        <m:r>
          <m:rPr>
            <m:sty m:val="p"/>
          </m:rPr>
          <m:t>,</m:t>
        </m:r>
        <m:r>
          <m:t>2</m:t>
        </m:r>
        <m:r>
          <m:rPr>
            <m:sty m:val="p"/>
          </m:rPr>
          <m:t>%</m:t>
        </m:r>
      </m:oMath>
      <w:r>
        <w:t xml:space="preserve"> </w:t>
      </w:r>
      <w:r>
        <w:t xml:space="preserve">năm 2024,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chấp nhận giả thuyết cân bằng). Sự đối lập này cho thấy bền vững ngưỡng không phải đặc tính phổ quát của chế độ thể chế ICRV III mà phụ thuộc vào mức độ và tốc độ thay đổi thể chế tích lũy trong cửa sổ quan sát.</w:t>
      </w:r>
    </w:p>
    <w:p>
      <w:pPr>
        <w:pStyle w:val="BodyText"/>
      </w:pPr>
      <w:r>
        <w:t xml:space="preserve">Vai trò của TCI tại Ấn Độ cho thấy hiện tượng đảo dấu (sign flip) chưa từng quan sát ở các bối cảnh quốc gia khác. Năm 2014, hiệu ứng trực tiếp TCI dương đáng kể (</w:t>
      </w:r>
      <m:oMath>
        <m:r>
          <m:t>β</m:t>
        </m:r>
        <m:r>
          <m:rPr>
            <m:sty m:val="p"/>
          </m:rPr>
          <m:t>=</m:t>
        </m:r>
        <m:r>
          <m:rPr>
            <m:sty m:val="p"/>
          </m:rPr>
          <m:t>+</m:t>
        </m:r>
        <m:r>
          <m:t>0</m:t>
        </m:r>
        <m:r>
          <m:rPr>
            <m:sty m:val="p"/>
          </m:rPr>
          <m:t>,</m:t>
        </m:r>
        <m:r>
          <m:t>12</m:t>
        </m:r>
      </m:oMath>
      <w:r>
        <w:t xml:space="preserve">,</w:t>
      </w:r>
      <w:r>
        <w:t xml:space="preserve"> </w:t>
      </w:r>
      <m:oMath>
        <m:r>
          <m:t>p</m:t>
        </m:r>
        <m:r>
          <m:rPr>
            <m:sty m:val="p"/>
          </m:rPr>
          <m:t>&lt;</m:t>
        </m:r>
        <m:r>
          <m:rPr>
            <m:sty m:val="p"/>
          </m:rPr>
          <m:t>,</m:t>
        </m:r>
        <m:r>
          <m:t>001</m:t>
        </m:r>
      </m:oMath>
      <w:r>
        <w:t xml:space="preserve">), năm 2022 tiếp tục dương và mạnh hơn (</w:t>
      </w:r>
      <m:oMath>
        <m:r>
          <m:t>β</m:t>
        </m:r>
        <m:r>
          <m:rPr>
            <m:sty m:val="p"/>
          </m:rPr>
          <m:t>=</m:t>
        </m:r>
        <m:r>
          <m:rPr>
            <m:sty m:val="p"/>
          </m:rPr>
          <m:t>+</m:t>
        </m:r>
        <m:r>
          <m:t>0</m:t>
        </m:r>
        <m:r>
          <m:rPr>
            <m:sty m:val="p"/>
          </m:rPr>
          <m:t>,</m:t>
        </m:r>
        <m:r>
          <m:t>19</m:t>
        </m:r>
      </m:oMath>
      <w:r>
        <w:t xml:space="preserve">,</w:t>
      </w:r>
      <w:r>
        <w:t xml:space="preserve"> </w:t>
      </w:r>
      <m:oMath>
        <m:r>
          <m:t>p</m:t>
        </m:r>
        <m:r>
          <m:rPr>
            <m:sty m:val="p"/>
          </m:rPr>
          <m:t>&lt;</m:t>
        </m:r>
        <m:r>
          <m:rPr>
            <m:sty m:val="p"/>
          </m:rPr>
          <m:t>,</m:t>
        </m:r>
        <m:r>
          <m:t>001</m:t>
        </m:r>
      </m:oMath>
      <w:r>
        <w:t xml:space="preserve">), nhưng năm 2025 đảo sang âm (</w:t>
      </w:r>
      <m:oMath>
        <m:r>
          <m:t>β</m:t>
        </m:r>
        <m:r>
          <m:rPr>
            <m:sty m:val="p"/>
          </m:rPr>
          <m:t>=</m:t>
        </m:r>
        <m:r>
          <m:rPr>
            <m:sty m:val="p"/>
          </m:rPr>
          <m:t>−</m:t>
        </m:r>
        <m:r>
          <m:t>0</m:t>
        </m:r>
        <m:r>
          <m:rPr>
            <m:sty m:val="p"/>
          </m:rPr>
          <m:t>,</m:t>
        </m:r>
        <m:r>
          <m:t>08</m:t>
        </m:r>
      </m:oMath>
      <w:r>
        <w:t xml:space="preserve">,</w:t>
      </w:r>
      <w:r>
        <w:t xml:space="preserve"> </w:t>
      </w:r>
      <m:oMath>
        <m:r>
          <m:t>p</m:t>
        </m:r>
        <m:r>
          <m:rPr>
            <m:sty m:val="p"/>
          </m:rPr>
          <m:t>&lt;</m:t>
        </m:r>
        <m:r>
          <m:rPr>
            <m:sty m:val="p"/>
          </m:rPr>
          <m:t>,</m:t>
        </m:r>
        <m:r>
          <m:t>001</m:t>
        </m:r>
      </m:oMath>
      <w:r>
        <w:t xml:space="preserve">) đi kèm tương tác FSTS</w:t>
      </w:r>
      <m:oMath>
        <m:r>
          <m:rPr>
            <m:sty m:val="p"/>
          </m:rPr>
          <m:t>×</m:t>
        </m:r>
      </m:oMath>
      <w:r>
        <w:t xml:space="preserve">TCI dương (</w:t>
      </w:r>
      <m:oMath>
        <m:r>
          <m:t>β</m:t>
        </m:r>
        <m:r>
          <m:rPr>
            <m:sty m:val="p"/>
          </m:rPr>
          <m:t>=</m:t>
        </m:r>
        <m:r>
          <m:rPr>
            <m:sty m:val="p"/>
          </m:rPr>
          <m:t>+</m:t>
        </m:r>
        <m:r>
          <m:t>0</m:t>
        </m:r>
        <m:r>
          <m:rPr>
            <m:sty m:val="p"/>
          </m:rPr>
          <m:t>,</m:t>
        </m:r>
        <m:r>
          <m:t>20</m:t>
        </m:r>
      </m:oMath>
      <w:r>
        <w:t xml:space="preserve">,</w:t>
      </w:r>
      <w:r>
        <w:t xml:space="preserve"> </w:t>
      </w:r>
      <m:oMath>
        <m:r>
          <m:t>p</m:t>
        </m:r>
        <m:r>
          <m:rPr>
            <m:sty m:val="p"/>
          </m:rPr>
          <m:t>=</m:t>
        </m:r>
        <m:r>
          <m:rPr>
            <m:sty m:val="p"/>
          </m:rPr>
          <m:t>,</m:t>
        </m:r>
        <m:r>
          <m:t>03</m:t>
        </m:r>
      </m:oMath>
      <w:r>
        <w:t xml:space="preserve">). Diễn giải nhất quán nhất với khung Mizik và Jacobson (2003) về đánh đổi chú trọng chiến lược (strategic emphasis trade-off): khi chính sách PLI và Atmanirbhar Bharat sau 2020 chuyển hướng năng lực công nghệ sang sản xuất nội địa, đầu tư TCI của doanh nghiệp định hướng nội địa cạnh tranh nguồn lực với hoạt động xuất khẩu, làm triệt tiêu lợi ích năng suất TCI vốn quan sát được khi tích lũy năng lực không thiên kiến giữa nội địa và xuất khẩu.</w:t>
      </w:r>
    </w:p>
    <w:p>
      <w:pPr>
        <w:pStyle w:val="BodyText"/>
      </w:pPr>
      <w:r>
        <w:t xml:space="preserve">Vai trò của DAI tại Ấn Độ làm rõ một sự tinh chỉnh lý thuyết quan trọng cho khung CDCM. Tại đợt 2025, ngoài chỉ báo Tier-1 (trang web) chung cho cả ba đợt, WBES BREADY cung cấp thêm chỉ báo Tier-2 (tỷ trọng doanh thu nhận qua thanh toán điện tử, biến</w:t>
      </w:r>
      <w:r>
        <w:t xml:space="preserve"> </w:t>
      </w:r>
      <w:r>
        <w:rPr>
          <w:rStyle w:val="VerbatimChar"/>
        </w:rPr>
        <w:t xml:space="preserve">k33</w:t>
      </w:r>
      <w:r>
        <w:t xml:space="preserve">) làm bối cảnh thí nghiệm gần tự nhiên cho hạ tầng số công cộng UPI. Tương tác DAI Tier-2 với cường độ xuất khẩu lại âm và có ý nghĩa thống kê:</w:t>
      </w:r>
      <w:r>
        <w:t xml:space="preserve"> </w:t>
      </w:r>
      <m:oMath>
        <m:r>
          <m:rPr>
            <m:nor/>
            <m:sty m:val="p"/>
          </m:rPr>
          <m:t>FSTS</m:t>
        </m:r>
        <m:r>
          <m:rPr>
            <m:sty m:val="p"/>
          </m:rPr>
          <m:t>×</m:t>
        </m:r>
        <m:sSub>
          <m:e>
            <m:r>
              <m:rPr>
                <m:nor/>
                <m:sty m:val="p"/>
              </m:rPr>
              <m:t>DAI</m:t>
            </m:r>
          </m:e>
          <m:sub>
            <m:r>
              <m:t>T</m:t>
            </m:r>
            <m:r>
              <m:t>i</m:t>
            </m:r>
            <m:r>
              <m:t>e</m:t>
            </m:r>
            <m:r>
              <m:t>r</m:t>
            </m:r>
            <m:r>
              <m:rPr>
                <m:sty m:val="p"/>
              </m:rPr>
              <m:t>−</m:t>
            </m:r>
            <m:r>
              <m:t>2</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ngược với dự đoán phụ phẩm cộng hưởng năng lực số công cộng. Diễn giải cộng hưởng (complementarity reading): hạ tầng số công cộng UPI vận hành trên đường ray rupee nội địa và yêu cầu KYC Aadhaar cho đối tác cư trú tại Ấn Độ; doanh nghiệp xuất khẩu cần hạ tầng tài chính xuyên biên giới khác hẳn (SWIFT, ngân hàng đại lý, tài trợ thương mại, bảo hiểm tín dụng xuất khẩu) mà UPI không thể thay thế. Phát hiện này cho thấy hạ tầng công cộng số chỉ thay thế năng lực tư nhân khi hai loại hạ tầng có cùng định hướng mục đích, không phải thay thế phổ quát cho mọi hoạt động sản xuất doanh nghiệp.</w:t>
      </w:r>
    </w:p>
    <w:bookmarkEnd w:id="39"/>
    <w:bookmarkEnd w:id="40"/>
    <w:bookmarkStart w:id="44" w:name="X7dc1f4b6942ab8cbfe81c82f5ce732ad4c75229"/>
    <w:p>
      <w:pPr>
        <w:pStyle w:val="Heading2"/>
      </w:pPr>
      <w:r>
        <w:t xml:space="preserve">4.5 Trường hợp biên: quốc đảo nhỏ đang phát triển Thái Bình Dương (SIDS)</w:t>
      </w:r>
    </w:p>
    <w:bookmarkStart w:id="41"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1"/>
    <w:bookmarkStart w:id="42"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Vì biến phụ thuộc là logarit năng suất lao động, một bước tăng FSTS từ 0 lên 1 (từ không xuất khẩu sang xuất khẩu hoàn toàn) gắn với mức giảm năng suất khoảng</w:t>
      </w:r>
      <w:r>
        <w:t xml:space="preserve"> </w:t>
      </w:r>
      <m:oMath>
        <m:r>
          <m:rPr>
            <m:sty m:val="p"/>
          </m:rPr>
          <m:t>exp</m:t>
        </m:r>
        <m:d>
          <m:dPr>
            <m:begChr m:val="("/>
            <m:endChr m:val=")"/>
            <m:sepChr m:val=""/>
            <m:grow/>
          </m:dPr>
          <m:e>
            <m:r>
              <m:rPr>
                <m:sty m:val="p"/>
              </m:rPr>
              <m:t>−</m:t>
            </m:r>
            <m:r>
              <m:t>0</m:t>
            </m:r>
            <m:r>
              <m:rPr>
                <m:sty m:val="p"/>
              </m:rPr>
              <m:t>,</m:t>
            </m:r>
            <m:r>
              <m:t>404</m:t>
            </m:r>
          </m:e>
        </m:d>
        <m:r>
          <m:rPr>
            <m:sty m:val="p"/>
          </m:rPr>
          <m:t>−</m:t>
        </m:r>
        <m:r>
          <m:t>1</m:t>
        </m:r>
        <m:r>
          <m:rPr>
            <m:sty m:val="p"/>
          </m:rPr>
          <m:t>≈</m:t>
        </m:r>
        <m:r>
          <m:rPr>
            <m:sty m:val="p"/>
          </m:rPr>
          <m:t>−</m:t>
        </m:r>
        <m:r>
          <m:t>33</m:t>
        </m:r>
        <m:r>
          <m:rPr>
            <m:sty m:val="p"/>
          </m:rPr>
          <m:t>,</m:t>
        </m:r>
        <m:r>
          <m:t>2</m:t>
        </m:r>
        <m:r>
          <m:rPr>
            <m:sty m:val="p"/>
          </m:rPr>
          <m:t>%</m:t>
        </m:r>
      </m:oMath>
      <w:r>
        <w:t xml:space="preserve"> </w:t>
      </w:r>
      <w:r>
        <w:t xml:space="preserve">(không phải −40,4% như diễn giải tuyến tính sai sẽ gợi ý).</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2"/>
    <w:bookmarkStart w:id="43"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FIP). Khái niệm này không phải hoàn toàn mới: cấu trúc kinh tế của SIDS với ba ràng buộc đồng thời (thị trường nội địa nhỏ, chi phí thương mại cao, hỗ trợ thể chế yếu) đã được phân tích trong các nghiên cứu SIDS từ Briguglio (1995) và mô hình MIRAB của Bertram (2006). Đóng góp của luận án là (i) chính thức kết nối ràng buộc cấu trúc SIDS với dấu của hệ số FSTS trong hồi quy I-P ở cấp doanh nghiệp, (ii) cung cấp ước lượng định lượng đầu tiên (β = −0,404,</w:t>
      </w:r>
      <w:r>
        <w:t xml:space="preserve"> </w:t>
      </w:r>
      <m:oMath>
        <m:r>
          <m:t>p</m:t>
        </m:r>
      </m:oMath>
      <w:r>
        <w:t xml:space="preserve"> </w:t>
      </w:r>
      <w:r>
        <w:t xml:space="preserve">=,032) trên dữ liệu WBES, và (iii) đặt FIP như một điều kiện biên rõ ràng cho lý thuyết quan hệ I-P phi tuyến.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3"/>
    <w:bookmarkEnd w:id="44"/>
    <w:bookmarkStart w:id="49" w:name="thảo-luận-tổng-hợp"/>
    <w:p>
      <w:pPr>
        <w:pStyle w:val="Heading2"/>
      </w:pPr>
      <w:r>
        <w:t xml:space="preserve">4.6 Thảo luận tổng hợp</w:t>
      </w:r>
    </w:p>
    <w:bookmarkStart w:id="45"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5"/>
    <w:bookmarkStart w:id="46"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nối tiếp và mở rộng phát hiện của Bustamante et al. (2022) về tương tác cDAI-thể chế ở cấp SME đa quốc gia. Đóng góp tăng thêm của luận án là (i) áp dụng trên mẫu lớn hơn nhiều (28.500 quan sát so với mẫu SME của Bustamante), (ii) phân tách rõ TCI khỏi DAI để cô lập cơ chế số bề mặt khỏi năng lực công nghệ chiều sâu, và (iii) xác nhận hướng tương tác là</w:t>
      </w:r>
      <w:r>
        <w:t xml:space="preserve"> </w:t>
      </w:r>
      <w:r>
        <w:rPr>
          <w:iCs/>
          <w:i/>
        </w:rPr>
        <w:t xml:space="preserve">thay thế</w:t>
      </w:r>
      <w:r>
        <w:t xml:space="preserve"> </w:t>
      </w:r>
      <w:r>
        <w:t xml:space="preserve">chứ không phải</w:t>
      </w:r>
      <w:r>
        <w:t xml:space="preserve"> </w:t>
      </w:r>
      <w:r>
        <w:rPr>
          <w:iCs/>
          <w:i/>
        </w:rPr>
        <w:t xml:space="preserve">bổ sung</w:t>
      </w:r>
      <w:r>
        <w:t xml:space="preserve"> </w:t>
      </w:r>
      <w:r>
        <w:t xml:space="preserve">trên dải sáu chế độ ICRV, một kết luận mạnh hơn về mặt phương pháp do dải biến thiên thể chế của mẫu luận án rộng hơn đáng kể.</w:t>
      </w:r>
    </w:p>
    <w:bookmarkEnd w:id="46"/>
    <w:bookmarkStart w:id="47"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7"/>
    <w:bookmarkStart w:id="48"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 ở cấp doanh nghiệp qua tương tác có điều kiện M10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Ở cấp phân tích tổng hợp, omnibus ICRV</w:t>
            </w:r>
            <w:r>
              <w:t xml:space="preserve"> </w:t>
            </w:r>
            <w:r>
              <w:rPr>
                <w:bCs/>
                <w:b/>
              </w:rPr>
              <w:t xml:space="preserve">không bền vững</w:t>
            </w:r>
            <w:r>
              <w:t xml:space="preserve"> </w:t>
            </w:r>
            <w:r>
              <w:t xml:space="preserve">(</w:t>
            </w:r>
            <m:oMath>
              <m:sSub>
                <m:e>
                  <m:r>
                    <m:t>Q</m:t>
                  </m:r>
                </m:e>
                <m:sub>
                  <m:r>
                    <m:t>M</m:t>
                  </m:r>
                </m:sub>
              </m:sSub>
              <m:r>
                <m:rPr>
                  <m:sty m:val="p"/>
                </m:rPr>
                <m:t>=</m:t>
              </m:r>
              <m:r>
                <m:t>17</m:t>
              </m:r>
              <m:r>
                <m:rPr>
                  <m:sty m:val="p"/>
                </m:rPr>
                <m:t>,</m:t>
              </m:r>
              <m:r>
                <m:t>35</m:t>
              </m:r>
            </m:oMath>
            <w:r>
              <w:t xml:space="preserve"> </w:t>
            </w:r>
            <w:r>
              <w:t xml:space="preserve">nhưng bỏ ô Frontier</w:t>
            </w:r>
            <w:r>
              <w:t xml:space="preserve"> </w:t>
            </w:r>
            <m:oMath>
              <m:r>
                <m:t>K</m:t>
              </m:r>
              <m:r>
                <m:rPr>
                  <m:sty m:val="p"/>
                </m:rPr>
                <m:t>=</m:t>
              </m:r>
              <m:r>
                <m:t>3</m:t>
              </m:r>
            </m:oMath>
            <w:r>
              <w:t xml:space="preserve"> </w:t>
            </w:r>
            <w:r>
              <w:t xml:space="preserve">→</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điều tiết thể chế chỉ bộc lộ vững chắc khi mô hình hóa tương tác, không phải khi so sánh chủ hiệu ứng phân nhóm.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8"/>
    <w:bookmarkEnd w:id="49"/>
    <w:bookmarkStart w:id="50"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50"/>
    <w:bookmarkEnd w:id="5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2026-06-04T01:00:24Z</dcterms:created>
  <dcterms:modified xsi:type="dcterms:W3CDTF">2026-06-04T01:00:24Z</dcterms:modified>
</cp:coreProperties>
</file>

<file path=docProps/custom.xml><?xml version="1.0" encoding="utf-8"?>
<Properties xmlns="http://schemas.openxmlformats.org/officeDocument/2006/custom-properties" xmlns:vt="http://schemas.openxmlformats.org/officeDocument/2006/docPropsVTypes"/>
</file>