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dưới ánh sáng của</w:t>
      </w:r>
      <w:r>
        <w:t xml:space="preserve"> </w:t>
      </w:r>
      <w:r>
        <w:rPr>
          <w:bCs/>
          <w:b/>
        </w:rPr>
        <w:t xml:space="preserve">khung lý thuyết phân tầng CIMT–ICRV–CDCM</w:t>
      </w:r>
      <w:r>
        <w:t xml:space="preserve"> </w:t>
      </w:r>
      <w:r>
        <w:t xml:space="preserve">(Chương 2 §2.5.1–2.5.4) cùng bốn lý thuyết nền là Uppsala, RBV, lý thuyết thể chế và lý thuyết thượng tầng quản trị. Trong khung này,</w:t>
      </w:r>
      <w:r>
        <w:t xml:space="preserve"> </w:t>
      </w:r>
      <w:r>
        <w:rPr>
          <w:bCs/>
          <w:b/>
        </w:rPr>
        <w:t xml:space="preserve">CIMT (Capability–Institution Mismatch Theory)</w:t>
      </w:r>
      <w:r>
        <w:t xml:space="preserve"> </w:t>
      </w:r>
      <w:r>
        <w:t xml:space="preserve">là cơ chế lý thuyết bao trùm tầm trung (Merton, 1968; Whetten, 1989; Corley &amp; Gioia, 2011) tích hợp ba kênh đã khẳng định (rent protection, LoF attenuation, institutional-void amplification);</w:t>
      </w:r>
      <w:r>
        <w:t xml:space="preserve"> </w:t>
      </w:r>
      <w:r>
        <w:rPr>
          <w:bCs/>
          <w:b/>
        </w:rPr>
        <w:t xml:space="preserve">ICRV</w:t>
      </w:r>
      <w:r>
        <w:t xml:space="preserve"> </w:t>
      </w:r>
      <w:r>
        <w:t xml:space="preserve">là taxonomy phân loại 45 nền kinh tế trên hai trục (institutional capability × resource vulnerability); và</w:t>
      </w:r>
      <w:r>
        <w:t xml:space="preserve"> </w:t>
      </w:r>
      <w:r>
        <w:rPr>
          <w:bCs/>
          <w:b/>
        </w:rPr>
        <w:t xml:space="preserve">CDCM</w:t>
      </w:r>
      <w:r>
        <w:t xml:space="preserve"> </w:t>
      </w:r>
      <w:r>
        <w:t xml:space="preserve">là biểu hiện thực nghiệm cấp doanh nghiệp dưới điều kiện số hóa. Chương gồm sáu phần: bàn luận kết quả theo khung phân tầng;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21"/>
    <w:bookmarkStart w:id="27" w:name="Xeb3250ac8e3491cd2431bc2ba518186336d526f"/>
    <w:p>
      <w:pPr>
        <w:pStyle w:val="Heading2"/>
      </w:pPr>
      <w:r>
        <w:t xml:space="preserve">5.1 Bàn luận kết quả theo khung lý thuyết phân tầng CIMT–ICRV–CDCM</w:t>
      </w:r>
    </w:p>
    <w:bookmarkStart w:id="22" w:name="X7839966215dea78300daf34b71435f48f44cd16"/>
    <w:p>
      <w:pPr>
        <w:pStyle w:val="Heading3"/>
      </w:pPr>
      <w:r>
        <w:t xml:space="preserve">5.1.1 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bổ sung cho nhau cùng chỉ về vai trò quyết định của chế độ thể chế, song ở hai cấp độ khác nhau. Ở cấp tổng hợp, phân tích tổng hợp xác nhận chế độ thể chế là yếu tố điều tiết có ý nghĩa của quan hệ gộp I-P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tức các chế độ</w:t>
      </w:r>
      <w:r>
        <w:t xml:space="preserve"> </w:t>
      </w:r>
      <w:r>
        <w:rPr>
          <w:bCs/>
          <w:b/>
        </w:rPr>
        <w:t xml:space="preserve">khác biệt</w:t>
      </w:r>
      <w:r>
        <w:t xml:space="preserve"> </w:t>
      </w:r>
      <w:r>
        <w:t xml:space="preserve">nhau; bản thân kiểm định này chưa xác lập một dải biến thiên đơn điệu theo chất lượng thể chế, và thực ra</w:t>
      </w:r>
      <w:r>
        <w:t xml:space="preserve"> </w:t>
      </w:r>
      <w:r>
        <w:rPr>
          <w:bCs/>
          <w:b/>
        </w:rPr>
        <w:t xml:space="preserve">không bền vững</w:t>
      </w:r>
      <w:r>
        <w:t xml:space="preserve">: ý nghĩa</w:t>
      </w:r>
      <w:r>
        <w:t xml:space="preserve"> </w:t>
      </w:r>
      <m:oMath>
        <m:sSub>
          <m:e>
            <m:r>
              <m:t>Q</m:t>
            </m:r>
          </m:e>
          <m:sub>
            <m:r>
              <m:t>M</m:t>
            </m:r>
          </m:sub>
        </m:sSub>
      </m:oMath>
      <w:r>
        <w:t xml:space="preserve"> </w:t>
      </w:r>
      <w:r>
        <w:t xml:space="preserve">gần như hoàn toàn do ô Frontier mỏng (k = 3) tạo ra, bỏ ô này thì omnibus 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Hình dạng cụ thể của dải biến thiên được xác lập độc lập bằng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của CIMT,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 chính là</w:t>
      </w:r>
      <w:r>
        <w:t xml:space="preserve"> </w:t>
      </w:r>
      <w:r>
        <w:rPr>
          <w:iCs/>
          <w:i/>
        </w:rPr>
        <w:t xml:space="preserve">observable signature</w:t>
      </w:r>
      <w:r>
        <w:t xml:space="preserve"> </w:t>
      </w:r>
      <w:r>
        <w:t xml:space="preserve">mà CDCM (§2.5.3) dự đoán.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24"/>
    <w:bookmarkStart w:id="25"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25"/>
    <w:bookmarkStart w:id="26"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thì</w:t>
      </w:r>
      <w:r>
        <w:t xml:space="preserve"> </w:t>
      </w:r>
      <w:r>
        <w:rPr>
          <w:iCs/>
          <w:i/>
        </w:rPr>
        <w:t xml:space="preserve">signature</w:t>
      </w:r>
      <w:r>
        <w:t xml:space="preserve"> </w:t>
      </w:r>
      <w:r>
        <w:t xml:space="preserve">không còn là chữ U ngược bị làm phẳng (như Singapore) hay bị dịch chuyển sớm (như Việt Nam), mà</w:t>
      </w:r>
      <w:r>
        <w:t xml:space="preserve"> </w:t>
      </w:r>
      <w:r>
        <w:rPr>
          <w:iCs/>
          <w:i/>
        </w:rPr>
        <w:t xml:space="preserve">đảo dấu</w:t>
      </w:r>
      <w:r>
        <w:t xml:space="preserve"> </w:t>
      </w:r>
      <w:r>
        <w:t xml:space="preserve">thành quan hệ âm đơn điệu. FIP là biểu hiện của trường hợp khi</w:t>
      </w:r>
      <w:r>
        <w:t xml:space="preserve"> </w:t>
      </w:r>
      <w:r>
        <w:rPr>
          <w:bCs/>
          <w:b/>
        </w:rPr>
        <w:t xml:space="preserve">cả ba lớp của khung phân tầng</w:t>
      </w:r>
      <w:r>
        <w:t xml:space="preserve"> </w:t>
      </w:r>
      <w:r>
        <w:t xml:space="preserve">— taxonomy ICRV ở vị trí Nhóm VI (SIDS), CIMT mismatch cực đại (capability–institution gap cực rộng), và CDCM signature trở nên triệt tiêu (DAI không phát huy tác dụng) — cùng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p>
      <w:pPr>
        <w:pStyle w:val="FirstParagraph"/>
      </w:pPr>
      <w:r>
        <w:rPr>
          <w:bCs/>
          <w:b/>
        </w:rPr>
        <w:t xml:space="preserve">Ấn Độ và điều kiện biên phạm vi áp dụng của khung CDCM.</w:t>
      </w:r>
      <w:r>
        <w:t xml:space="preserve"> </w:t>
      </w:r>
      <w:r>
        <w:t xml:space="preserve">Phát hiện ngưỡng phá vỡ tại Ấn Độ (P9’ India) qua giai đoạn 2014–2025 bổ sung một điều kiện biên quan trọng cho khung CDCM. Trong khi quan hệ U ngược được khung dự đoán giả định môi trường thể chế ổn định, sự sụp đổ độ cong tại đợt 2025 dưới áp lực tích lũy của bãi bỏ tiền mặt, GST, IBC, UPI, PLI, COVID-19 và Atmanirbhar Bharat cho thấy bản thân khung CDCM cũng cần điều kiện ổn định thể chế làm tiền đề. Khung này không khẳng định U ngược là quan hệ phổ quát mà là quan hệ có điều kiện. Sự bác bỏ giả thuyết phổ quát của Tier-2 thay thế Tier-1 (qua tương tác âm</w:t>
      </w:r>
      <w:r>
        <w:t xml:space="preserve"> </w:t>
      </w:r>
      <m:oMath>
        <m:r>
          <m:t>β</m:t>
        </m:r>
        <m:r>
          <m:rPr>
            <m:sty m:val="p"/>
          </m:rPr>
          <m:t>=</m:t>
        </m:r>
        <m:r>
          <m:rPr>
            <m:sty m:val="p"/>
          </m:rPr>
          <m:t>−</m:t>
        </m:r>
        <m:r>
          <m:t>4</m:t>
        </m:r>
        <m:r>
          <m:rPr>
            <m:sty m:val="p"/>
          </m:rPr>
          <m:t>,</m:t>
        </m:r>
        <m:r>
          <m:t>02</m:t>
        </m:r>
      </m:oMath>
      <w:r>
        <w:t xml:space="preserve">,</w:t>
      </w:r>
      <w:r>
        <w:t xml:space="preserve"> </w:t>
      </w:r>
      <m:oMath>
        <m:r>
          <m:t>p</m:t>
        </m:r>
        <m:r>
          <m:rPr>
            <m:sty m:val="p"/>
          </m:rPr>
          <m:t>=</m:t>
        </m:r>
        <m:r>
          <m:rPr>
            <m:sty m:val="p"/>
          </m:rPr>
          <m:t>,</m:t>
        </m:r>
        <m:r>
          <m:t>004</m:t>
        </m:r>
      </m:oMath>
      <w:r>
        <w:t xml:space="preserve"> </w:t>
      </w:r>
      <w:r>
        <w:t xml:space="preserve">tại Ấn Độ) cũng tinh chỉnh đề xuất phụ trợ của khung: hạ tầng số công cộng chỉ thay thế năng lực số tư nhân khi hai loại hạ tầng có cùng định hướng mục đích. UPI hỗ trợ giao dịch nội địa hiệu quả nhưng không thay thế hạ tầng tài chính xuyên biên giới (SWIFT, ngân hàng đại lý, tài trợ thương mại) mà doanh nghiệp xuất khẩu yêu cầu.</w:t>
      </w:r>
    </w:p>
    <w:bookmarkEnd w:id="26"/>
    <w:bookmarkEnd w:id="27"/>
    <w:bookmarkStart w:id="31" w:name="so-sánh-với-nghiên-cứu-trước-đây"/>
    <w:p>
      <w:pPr>
        <w:pStyle w:val="Heading2"/>
      </w:pPr>
      <w:r>
        <w:t xml:space="preserve">5.2 So sánh với nghiên cứu trước đây</w:t>
      </w:r>
    </w:p>
    <w:bookmarkStart w:id="28"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w:t>
      </w:r>
      <w:r>
        <w:t xml:space="preserve"> </w:t>
      </w:r>
      <w:r>
        <w:rPr>
          <w:bCs/>
          <w:b/>
        </w:rPr>
        <w:t xml:space="preserve">mức độ thiên lệch công bố được bao quát bởi sáu kiểm định bổ sung cho nhau</w:t>
      </w:r>
      <w:r>
        <w:t xml:space="preserve">: trim-and-fill cho</w:t>
      </w:r>
      <w:r>
        <w:t xml:space="preserve"> </w:t>
      </w:r>
      <m:oMath>
        <m:sSub>
          <m:e>
            <m:r>
              <m:t>r</m:t>
            </m:r>
          </m:e>
          <m:sub>
            <m:r>
              <m:rPr>
                <m:nor/>
                <m:sty m:val="p"/>
              </m:rPr>
              <m:t>adj</m:t>
            </m:r>
          </m:sub>
        </m:sSub>
        <m:r>
          <m:rPr>
            <m:sty m:val="p"/>
          </m:rPr>
          <m:t>=</m:t>
        </m:r>
        <m:r>
          <m:t>0</m:t>
        </m:r>
        <m:r>
          <m:rPr>
            <m:sty m:val="p"/>
          </m:rPr>
          <m:t>,</m:t>
        </m:r>
        <m:r>
          <m:t>035</m:t>
        </m:r>
      </m:oMath>
      <w:r>
        <w:t xml:space="preserve"> </w:t>
      </w:r>
      <w:r>
        <w:t xml:space="preserve">(mạnh nhất, có thể over-correct dưới dị biệt cao theo Terrin et al., 2003), PET-PEESE cho</w:t>
      </w:r>
      <w:r>
        <w:t xml:space="preserve"> </w:t>
      </w:r>
      <m:oMath>
        <m:sSub>
          <m:e>
            <m:r>
              <m:t>r</m:t>
            </m:r>
          </m:e>
          <m:sub>
            <m:r>
              <m:rPr>
                <m:nor/>
                <m:sty m:val="p"/>
              </m:rPr>
              <m:t>adj</m:t>
            </m:r>
          </m:sub>
        </m:sSub>
        <m:r>
          <m:rPr>
            <m:sty m:val="p"/>
          </m:rPr>
          <m:t>=</m:t>
        </m:r>
        <m:r>
          <m:t>0</m:t>
        </m:r>
        <m:r>
          <m:rPr>
            <m:sty m:val="p"/>
          </m:rPr>
          <m:t>,</m:t>
        </m:r>
        <m:r>
          <m:t>061</m:t>
        </m:r>
      </m:oMath>
      <w:r>
        <w:t xml:space="preserve">, và mô hình lựa chọn ba tham số Vevea-Hedges cho</w:t>
      </w:r>
      <w:r>
        <w:t xml:space="preserve"> </w:t>
      </w:r>
      <m:oMath>
        <m:sSub>
          <m:e>
            <m:r>
              <m:t>r</m:t>
            </m:r>
          </m:e>
          <m:sub>
            <m:r>
              <m:rPr>
                <m:nor/>
                <m:sty m:val="p"/>
              </m:rPr>
              <m:t>adj</m:t>
            </m:r>
          </m:sub>
        </m:sSub>
        <m:r>
          <m:rPr>
            <m:sty m:val="p"/>
          </m:rPr>
          <m:t>=</m:t>
        </m:r>
        <m:r>
          <m:t>0</m:t>
        </m:r>
        <m:r>
          <m:rPr>
            <m:sty m:val="p"/>
          </m:rPr>
          <m:t>,</m:t>
        </m:r>
        <m:r>
          <m:t>077</m:t>
        </m:r>
      </m:oMath>
      <w:r>
        <w:t xml:space="preserve"> </w:t>
      </w:r>
      <w:r>
        <w:t xml:space="preserve">(bảo thủ nhất). Khoảng hiệu chỉnh</w:t>
      </w:r>
      <w:r>
        <w:t xml:space="preserve"> </w:t>
      </w:r>
      <m:oMath>
        <m:r>
          <m:t>r</m:t>
        </m:r>
        <m:r>
          <m:rPr>
            <m:sty m:val="p"/>
          </m:rPr>
          <m:t>∈</m:t>
        </m:r>
        <m:d>
          <m:dPr>
            <m:begChr m:val="["/>
            <m:endChr m:val="]"/>
            <m:sepChr m:val=""/>
            <m:grow/>
          </m:dPr>
          <m:e>
            <m:r>
              <m:t>0</m:t>
            </m:r>
            <m:r>
              <m:rPr>
                <m:sty m:val="p"/>
              </m:rPr>
              <m:t>,</m:t>
            </m:r>
            <m:r>
              <m:t>035</m:t>
            </m:r>
            <m:r>
              <m:rPr>
                <m:sty m:val="p"/>
              </m:rPr>
              <m:t>;</m:t>
            </m:r>
            <m:r>
              <m:t>0</m:t>
            </m:r>
            <m:r>
              <m:rPr>
                <m:sty m:val="p"/>
              </m:rPr>
              <m:t>,</m:t>
            </m:r>
            <m:r>
              <m:t>077</m:t>
            </m:r>
          </m:e>
        </m:d>
      </m:oMath>
      <w:r>
        <w:t xml:space="preserve"> </w:t>
      </w:r>
      <w:r>
        <w:t xml:space="preserve">hàm ý quan hệ I-P trung bình được báo cáo suốt bốn thập kỷ có thể đã bị thổi phồng đáng kể,</w:t>
      </w:r>
      <w:r>
        <w:t xml:space="preserve"> </w:t>
      </w:r>
      <w:r>
        <w:rPr>
          <w:iCs/>
          <w:i/>
        </w:rPr>
        <w:t xml:space="preserve">mức</w:t>
      </w:r>
      <w:r>
        <w:t xml:space="preserve"> </w:t>
      </w:r>
      <w:r>
        <w:t xml:space="preserve">thổi phồng tùy giả định selection-process. Bằng chứng selection thực sự tồn tại được củng cố vững chắc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và mô hình Vevea-Hedges LRT bác bỏ giả thuyết không-selection (</w:t>
      </w:r>
      <m:oMath>
        <m:sSup>
          <m:e>
            <m:r>
              <m:t>χ</m:t>
            </m:r>
          </m:e>
          <m:sup>
            <m:r>
              <m:t>2</m:t>
            </m:r>
          </m:sup>
        </m:sSup>
        <m:r>
          <m:rPr>
            <m:sty m:val="p"/>
          </m:rPr>
          <m:t>=</m:t>
        </m:r>
        <m:r>
          <m:t>12</m:t>
        </m:r>
        <m:r>
          <m:rPr>
            <m:sty m:val="p"/>
          </m:rPr>
          <m:t>,</m:t>
        </m:r>
        <m:r>
          <m:t>29</m:t>
        </m:r>
      </m:oMath>
      <w:r>
        <w:t xml:space="preserve">,</w:t>
      </w:r>
      <w:r>
        <w:t xml:space="preserve"> </w:t>
      </w:r>
      <m:oMath>
        <m:r>
          <m:t>d</m:t>
        </m:r>
        <m:r>
          <m:t>f</m:t>
        </m:r>
        <m:r>
          <m:rPr>
            <m:sty m:val="p"/>
          </m:rPr>
          <m:t>=</m:t>
        </m:r>
        <m:r>
          <m:t>2</m:t>
        </m:r>
      </m:oMath>
      <w:r>
        <w:t xml:space="preserve">,</w:t>
      </w:r>
      <w:r>
        <w:t xml:space="preserve"> </w:t>
      </w:r>
      <m:oMath>
        <m:r>
          <m:t>p</m:t>
        </m:r>
        <m:r>
          <m:rPr>
            <m:sty m:val="p"/>
          </m:rPr>
          <m:t>=</m:t>
        </m:r>
        <m:r>
          <m:rPr>
            <m:sty m:val="p"/>
          </m:rPr>
          <m:t>,</m:t>
        </m:r>
        <m:r>
          <m:t>002</m:t>
        </m:r>
      </m:oMath>
      <w:r>
        <w:t xml:space="preserve">); kiểm định Egger chỉ ở mức biên (</w:t>
      </w:r>
      <m:oMath>
        <m:r>
          <m:t>p</m:t>
        </m:r>
        <m:r>
          <m:rPr>
            <m:sty m:val="p"/>
          </m:rPr>
          <m:t>=</m:t>
        </m:r>
        <m:r>
          <m:rPr>
            <m:sty m:val="p"/>
          </m:rPr>
          <m:t>,</m:t>
        </m:r>
        <m:r>
          <m:t>057</m:t>
        </m:r>
      </m:oMath>
      <w:r>
        <w:t xml:space="preserve">). Luận án trình bày khoảng bao quát này như một tín hiệu định hướng mạnh thay vì khẳng định một độ lớn đã chốt.</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29"/>
    <w:bookmarkStart w:id="30"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Marano et al. (2016) vẫn là tham chiếu nền tảng cho điều tiết thể chế trong tài liệu I-P; phát hiện của họ ở cấp tổng hợp (k = 359) chưa bị luận án này bác bỏ. Đóng góp của luận án là</w:t>
      </w:r>
      <w:r>
        <w:t xml:space="preserve"> </w:t>
      </w:r>
      <w:r>
        <w:rPr>
          <w:iCs/>
          <w:i/>
        </w:rPr>
        <w:t xml:space="preserve">bổ sung phân giải</w:t>
      </w:r>
      <w:r>
        <w:t xml:space="preserve"> </w:t>
      </w:r>
      <w:r>
        <w:t xml:space="preserve">chứ không phải lật ngược: sáu nhóm con ICRV nắm bắt được sự đa dạng ngay trong nội bộ nhóm</w:t>
      </w:r>
      <w:r>
        <w:t xml:space="preserve"> </w:t>
      </w:r>
      <w:r>
        <w:t xml:space="preserve">“</w:t>
      </w:r>
      <w:r>
        <w:t xml:space="preserve">mới nổi</w:t>
      </w:r>
      <w:r>
        <w:t xml:space="preserve">”</w:t>
      </w:r>
      <w:r>
        <w:t xml:space="preserve"> </w:t>
      </w:r>
      <w:r>
        <w:t xml:space="preserve">(phân biệt Trung Quốc với Việt Nam, Bangladesh và các nền kinh tế đảo nhỏ), đồng thời phân biệt trong nhóm</w:t>
      </w:r>
      <w:r>
        <w:t xml:space="preserve"> </w:t>
      </w:r>
      <w:r>
        <w:t xml:space="preserve">“</w:t>
      </w:r>
      <w:r>
        <w:t xml:space="preserve">tiên tiến</w:t>
      </w:r>
      <w:r>
        <w:t xml:space="preserve">”</w:t>
      </w:r>
      <w:r>
        <w:t xml:space="preserve"> </w:t>
      </w:r>
      <w:r>
        <w:t xml:space="preserve">(tách Singapore dẫn dắt bằng đổi mới khỏi các nền kinh tế vùng Vịnh dẫn dắt bằng tài nguyên). Phân loại nhị phân của Marano gộp các biến thiên này, làm mất thông tin về dải biến thiên ICRV mà luận án này phát hiện ở cấp doanh nghiệp (FSTS×ICRV và FSTS²×ICRV, p &lt;,001 trong phân tích đa quốc gia). Đáng chú ý, ở cấp meta-analytic của riêng luận án, omnibus ICRV lại</w:t>
      </w:r>
      <w:r>
        <w:t xml:space="preserve"> </w:t>
      </w:r>
      <w:r>
        <w:rPr>
          <w:bCs/>
          <w:b/>
        </w:rPr>
        <w:t xml:space="preserve">không bền vững</w:t>
      </w:r>
      <w:r>
        <w:t xml:space="preserve"> </w:t>
      </w:r>
      <w:r>
        <w:t xml:space="preserve">(bỏ ô Frontier; sau đó</w:t>
      </w:r>
      <w:r>
        <w:t xml:space="preserve">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nghĩa là phân loại sáu chế độ chưa làm tăng độ phát hiện điều tiết ở cấp văn liệu so với phân loại nhị phân; lợi ích của ICRV chủ yếu nằm ở phân tích cấp doanh nghiệp.</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p>
      <w:pPr>
        <w:pStyle w:val="FirstParagraph"/>
      </w:pPr>
      <w:r>
        <w:t xml:space="preserve">Luận án đóng góp năm đề mục lý thuyết được tổ chức quanh</w:t>
      </w:r>
      <w:r>
        <w:t xml:space="preserve"> </w:t>
      </w:r>
      <w:r>
        <w:rPr>
          <w:bCs/>
          <w:b/>
        </w:rPr>
        <w:t xml:space="preserve">khung phân tầng CIMT–ICRV–CDCM</w:t>
      </w:r>
      <w:r>
        <w:t xml:space="preserve"> </w:t>
      </w:r>
      <w:r>
        <w:t xml:space="preserve">(§2.5.1–2.5.4). Đề mục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được khẳng định (rent protection, LoF attenuation, institutional-void amplification) thành một mechanism thống nhất, neo trên taxonomy ICRV và quan sát được qua signature CDCM ở cấp doanh nghiệp. Đóng góp này không tuyên bố thay thế RBV hay institutional theory mà</w:t>
      </w:r>
      <w:r>
        <w:t xml:space="preserve"> </w:t>
      </w:r>
      <w:r>
        <w:rPr>
          <w:iCs/>
          <w:i/>
        </w:rPr>
        <w:t xml:space="preserve">adjudicate giữa các dự đoán cạnh tranh trên cùng một dataset đa quốc gia</w:t>
      </w:r>
      <w:r>
        <w:t xml:space="preserve"> </w:t>
      </w:r>
      <w:r>
        <w:t xml:space="preserve">— kiểu đóng góp Whetten (1989) và Corley &amp; Gioia (2011) công nhận là incremental but valid. Bốn đề mục còn lại — DAI là nguồn lực tình huống, FIP là điều kiện biên SIDS, ngưỡng phá vỡ tại Ấn Độ, vai trò của Bậc trên — đều là</w:t>
      </w:r>
      <w:r>
        <w:t xml:space="preserve"> </w:t>
      </w:r>
      <w:r>
        <w:rPr>
          <w:iCs/>
          <w:i/>
        </w:rPr>
        <w:t xml:space="preserve">signature</w:t>
      </w:r>
      <w:r>
        <w:t xml:space="preserve"> </w:t>
      </w:r>
      <w:r>
        <w:t xml:space="preserve">của CIMT trong các regime ICRV cụ thể.</w:t>
      </w:r>
    </w:p>
    <w:bookmarkStart w:id="32" w:name="Xbed440cdff66f7371be0a6ee45ac5a26d4c88b8"/>
    <w:p>
      <w:pPr>
        <w:pStyle w:val="Heading3"/>
      </w:pPr>
      <w:r>
        <w:t xml:space="preserve">5.3.1 CDCM signature: DAI là nguồn lực tình huống dưới mismatch số hóa</w:t>
      </w:r>
    </w:p>
    <w:p>
      <w:pPr>
        <w:pStyle w:val="FirstParagraph"/>
      </w:pPr>
      <w:r>
        <w:t xml:space="preserve">Đóng góp lý thuyết tiếp theo là làm rõ</w:t>
      </w:r>
      <w:r>
        <w:t xml:space="preserve"> </w:t>
      </w:r>
      <w:r>
        <w:rPr>
          <w:bCs/>
          <w:b/>
        </w:rPr>
        <w:t xml:space="preserve">bản chất của DAI</w:t>
      </w:r>
      <w:r>
        <w:t xml:space="preserve"> </w:t>
      </w:r>
      <w:r>
        <w:t xml:space="preserve">như observable signature của CIMT trong CDCM. DAI có hiệu ứng nâng mặt bằng phổ quát (β = +0,172, p &lt; 0,001, mẫu gộp N=82.302 từ 45 nền kinh tế), nhưng vai trò uốn đường cong I-P lại</w:t>
      </w:r>
      <w:r>
        <w:t xml:space="preserve"> </w:t>
      </w:r>
      <w:r>
        <w:rPr>
          <w:bCs/>
          <w:b/>
        </w:rPr>
        <w:t xml:space="preserve">phụ thuộc bối cảnh ICRV</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w:t>
      </w:r>
      <w:r>
        <w:t xml:space="preserve">— chính là</w:t>
      </w:r>
      <w:r>
        <w:t xml:space="preserve"> </w:t>
      </w:r>
      <w:r>
        <w:rPr>
          <w:iCs/>
          <w:i/>
        </w:rPr>
        <w:t xml:space="preserve">observable signature</w:t>
      </w:r>
      <w:r>
        <w:t xml:space="preserve"> </w:t>
      </w:r>
      <w:r>
        <w:t xml:space="preserve">mà khung CIMT dự đoán: năng lực số đóng vai trò bù đắp cho institutional voids (kênh ba của CIMT) khi mismatch sâu sắc.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32"/>
    <w:bookmarkStart w:id="33" w:name="Xe11ed3cb35243ecfe6b42fdec73f61db3ecc52a"/>
    <w:p>
      <w:pPr>
        <w:pStyle w:val="Heading3"/>
      </w:pPr>
      <w:r>
        <w:t xml:space="preserve">5.3.2 FIP, Điều kiện biên cho SIDS có nền tảng SIDS literature</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w:t>
      </w:r>
      <w:r>
        <w:t xml:space="preserve">như một điều kiện biên rõ ràng cho mô hình chữ U ngược I-P, nối tiếp dòng nghiên cứu nền tảng SIDS của Briguglio (1995) và mô hình MIRAB của Bertram (2006). Khái niệm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 Đóng góp tăng thêm của luận án so với SIDS literature trước là (i) chính thức kết nối ba ràng buộc SIDS với dấu của hệ số FSTS trong hồi quy I-P ở cấp doanh nghiệp, (ii) cung cấp ước lượng định lượng đầu tiên (β = −0,404, p =,032) trên dữ liệu WBES, (iii) đặt FIP làm điều kiện biên rõ ràng cho lý thuyết I-P phi tuyến.</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33"/>
    <w:bookmarkStart w:id="34"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36"/>
    <w:bookmarkStart w:id="37"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37"/>
    <w:bookmarkStart w:id="38"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cấu trúc ngành buộc tỷ trọng xuất khẩu thường vượt 50-70% tổng doanh thu. Kết quả phân tích Việt Nam gợi ý rằng nhiều doanh nghiệp trong số đó đang ở phía bên phải điểm uốn, tức đang gánh chi phí phối hợp quốc tế mà năng suất không tăng tương ứng. Vì không có thị trường nội địa đủ lớn để thay thế, giải pháp không thể là giảm xuất khẩu, mà phải là</w:t>
      </w:r>
      <w:r>
        <w:t xml:space="preserve"> </w:t>
      </w:r>
      <w:r>
        <w:rPr>
          <w:bCs/>
          <w:b/>
        </w:rPr>
        <w:t xml:space="preserve">kéo dài đỉnh của đường cong chữ U</w:t>
      </w:r>
      <w:r>
        <w:t xml:space="preserve">, tức mở rộng vùng cường độ xuất khẩu còn sinh lợi bằng cách nâng năng lực để đẩy điểm uốn sang phải.</w:t>
      </w:r>
    </w:p>
    <w:p>
      <w:pPr>
        <w:pStyle w:val="BodyText"/>
      </w:pPr>
      <w:r>
        <w:t xml:space="preserve">Điều then chốt là phải dịch khái niệm trừu tượng</w:t>
      </w:r>
      <w:r>
        <w:t xml:space="preserve"> </w:t>
      </w:r>
      <w:r>
        <w:t xml:space="preserve">“</w:t>
      </w:r>
      <w:r>
        <w:t xml:space="preserve">nâng TCI</w:t>
      </w:r>
      <w:r>
        <w:t xml:space="preserve">”</w:t>
      </w:r>
      <w:r>
        <w:t xml:space="preserve"> </w:t>
      </w:r>
      <w:r>
        <w:t xml:space="preserve">thành một lộ trình hành động gắn chặt với đặc thù chuỗi cung ứng nông – thủy sản, thay vì một khuyến nghị chung chung. Với một nhà máy chế biến cá tra hay tôm, nâng TCI không có nghĩa là theo đuổi công nghệ cao trừu tượng, mà cụ thể là</w:t>
      </w:r>
      <w:r>
        <w:t xml:space="preserve"> </w:t>
      </w:r>
      <w:r>
        <w:rPr>
          <w:bCs/>
          <w:b/>
        </w:rPr>
        <w:t xml:space="preserve">đạt các chứng nhận chất lượng quốc tế khắt khe như ASC (Aquaculture Stewardship Council) và BAP (Best Aquaculture Practices) cho thủy sản, hoặc GlobalGAP và SRP (Sustainable Rice Platform) cho gạo</w:t>
      </w:r>
      <w:r>
        <w:t xml:space="preserve">. Trong ngữ cảnh này, chứng nhận vận hành như một thứ vũ khí kép: nó giúp doanh nghiệp vượt qua các rào cản kỹ thuật trong thương mại (TBT/SPS) tại các thị trường EU, Hoa Kỳ và Nhật Bản, đồng thời biến chính chi phí tuân thủ thành một rào cản gia nhập đối với đối thủ năng lực thấp hơn, qua đó nâng biên lợi nhuận trên mỗi đơn vị xuất khẩu và đẩy điểm uốn về phía cường độ cao hơn.</w:t>
      </w:r>
    </w:p>
    <w:p>
      <w:pPr>
        <w:pStyle w:val="BodyText"/>
      </w:pPr>
      <w:r>
        <w:t xml:space="preserve">Về số hóa, bằng chứng đối chiếu giữa kết quả không có ý nghĩa (null) của DAI Tier-1 tại Việt Nam và hiệu ứng khuếch đại mạnh của DAI Tier-1+2 tại Singapore cung cấp một minh chứng thực nghiệm sắc bén: ở một thị trường chuyển đổi như Việt Nam, số hóa Tier-1 (chỉ gồm trang web, thư điện tử) đã trở thành một</w:t>
      </w:r>
      <w:r>
        <w:t xml:space="preserve"> </w:t>
      </w:r>
      <w:r>
        <w:rPr>
          <w:bCs/>
          <w:b/>
        </w:rPr>
        <w:t xml:space="preserve">yếu tố vệ sinh</w:t>
      </w:r>
      <w:r>
        <w:t xml:space="preserve"> </w:t>
      </w:r>
      <w:r>
        <w:t xml:space="preserve">(hygiene factor) phổ cập, hiện diện gần như khắp nơi nên không còn tạo khác biệt cạnh tranh và không đủ sức uốn cong đường hiệu quả. Hàm ý cho Đồng bằng sông Cửu Long do đó không phải là</w:t>
      </w:r>
      <w:r>
        <w:t xml:space="preserve"> </w:t>
      </w:r>
      <w:r>
        <w:t xml:space="preserve">“</w:t>
      </w:r>
      <w:r>
        <w:t xml:space="preserve">chuyển đổi số</w:t>
      </w:r>
      <w:r>
        <w:t xml:space="preserve">”</w:t>
      </w:r>
      <w:r>
        <w:t xml:space="preserve"> </w:t>
      </w:r>
      <w:r>
        <w:t xml:space="preserve">chung chung, mà là vượt qua</w:t>
      </w:r>
      <w:r>
        <w:t xml:space="preserve"> </w:t>
      </w:r>
      <w:r>
        <w:rPr>
          <w:bCs/>
          <w:b/>
        </w:rPr>
        <w:t xml:space="preserve">ngưỡng độ sâu</w:t>
      </w:r>
      <w:r>
        <w:t xml:space="preserve"> </w:t>
      </w:r>
      <w:r>
        <w:t xml:space="preserve">từ Tier-1 lên Tier-2, nơi năng lực số mới thực sự phát huy vai trò nguồn lực phụ thuộc bối cảnh và khuếch đại lợi nhuận ở mức quốc tế hóa cao. Cụ thể, DAI Tier-2 trong ngành nông – thủy sản chính là</w:t>
      </w:r>
      <w:r>
        <w:t xml:space="preserve"> </w:t>
      </w:r>
      <w:r>
        <w:rPr>
          <w:bCs/>
          <w:b/>
        </w:rPr>
        <w:t xml:space="preserve">hệ thống truy xuất nguồn gốc trên nền blockchain</w:t>
      </w:r>
      <w:r>
        <w:t xml:space="preserve"> </w:t>
      </w:r>
      <w:r>
        <w:t xml:space="preserve">và</w:t>
      </w:r>
      <w:r>
        <w:t xml:space="preserve"> </w:t>
      </w:r>
      <w:r>
        <w:rPr>
          <w:bCs/>
          <w:b/>
        </w:rPr>
        <w:t xml:space="preserve">phần mềm ERP kết nối trực tiếp nhà máy với hộ nông dân và vùng nuôi</w:t>
      </w:r>
      <w:r>
        <w:t xml:space="preserve">, kèm thanh toán điện tử xuyên suốt chuỗi. Đây chính là cơ chế</w:t>
      </w:r>
      <w:r>
        <w:t xml:space="preserve"> </w:t>
      </w:r>
      <w:r>
        <w:rPr>
          <w:bCs/>
          <w:b/>
        </w:rPr>
        <w:t xml:space="preserve">thay thế số cho thể chế</w:t>
      </w:r>
      <w:r>
        <w:t xml:space="preserve"> </w:t>
      </w:r>
      <w:r>
        <w:t xml:space="preserve">(digital-for-institutional substitution): ở nơi thể chế trung gian địa phương còn khoảng trống (hợp đồng khó thực thi, thông tin thị trường thiếu, chuẩn chất lượng khó giám sát), các công cụ số này hạ chi phí giao dịch bị đội lên do khoảng trống thể chế, đồng thời đáp ứng yêu cầu minh bạch nguồn gốc ngày càng ngặt nghèo từ nhà nhập khẩu. Bằng cách định nghĩa lại TCI và DAI bằng đúng ngôn ngữ của ngành hàng, các đề xuất này chuyển từ khuyến nghị hàn lâm sang một cẩm nang công nghệ khả thi cho doanh nghiệp và nhà hoạch định chính sách vùng,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Tuy nhiên, cần phân biệt rõ giữa một giới hạn đo lường thuần túy và một phát hiện lý thuyết bị che lấp dưới hình thức giới hạn đo lường. Việc giải thích kết quả null của DAI tại Việt Nam đơn thuần như một khiếm khuyết dữ liệu của WBES là một lập luận phòng thủ và khiên cưỡng. Một cách diễn giải chặt chẽ hơn là xem Tier-1 không phải</w:t>
      </w:r>
      <w:r>
        <w:t xml:space="preserve"> </w:t>
      </w:r>
      <w:r>
        <w:t xml:space="preserve">“</w:t>
      </w:r>
      <w:r>
        <w:t xml:space="preserve">dữ liệu kém</w:t>
      </w:r>
      <w:r>
        <w:t xml:space="preserve">”</w:t>
      </w:r>
      <w:r>
        <w:t xml:space="preserve"> </w:t>
      </w:r>
      <w:r>
        <w:t xml:space="preserve">mà là một</w:t>
      </w:r>
      <w:r>
        <w:t xml:space="preserve"> </w:t>
      </w:r>
      <w:r>
        <w:rPr>
          <w:bCs/>
          <w:b/>
        </w:rPr>
        <w:t xml:space="preserve">rào cản tối thiểu đã bị bão hòa</w:t>
      </w:r>
      <w:r>
        <w:t xml:space="preserve">: tại các thị trường chuyển đổi, sự hiện diện số ở mức Tier-1 (có trang web, thư điện tử) đã phổ cập đến mức trở thành yếu tố vệ sinh, hiện diện gần như đồng đều giữa các doanh nghiệp nên không còn phương sai đủ để tạo khác biệt cạnh tranh hay làm bộ đệm uốn cong đường hiệu quả. Theo cách đọc này, kết quả null tại Việt Nam (chỉ Tier-1) đặt cạnh hiệu ứng khuếch đại có ý nghĩa tại Singapore (Tier-1+2) không phải là hai mảnh bằng chứng mâu thuẫn, mà cùng xác nhận một mệnh đề lý thuyết duy nhất: DAI là một nguồn lực phụ thuộc bối cảnh đòi hỏi một</w:t>
      </w:r>
      <w:r>
        <w:t xml:space="preserve"> </w:t>
      </w:r>
      <w:r>
        <w:rPr>
          <w:bCs/>
          <w:b/>
        </w:rPr>
        <w:t xml:space="preserve">ngưỡng độ sâu</w:t>
      </w:r>
      <w:r>
        <w:t xml:space="preserve"> </w:t>
      </w:r>
      <w:r>
        <w:t xml:space="preserve">nhất định, là sự chuyển dịch từ số hóa thông tin sang tích hợp số vào quy trình, mới đủ sức điều tiết quan hệ I-P. Diễn giải này biến một điểm yếu phương pháp thành một đóng góp lý thuyết, đồng thời định hướng cụ thể cho việc đo lường DAI đa tầng trong các nghiên cứu tương lai.</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41"/>
    <w:bookmarkStart w:id="42"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42"/>
    <w:bookmarkStart w:id="43"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43"/>
    <w:bookmarkStart w:id="44"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Đồng thời, luận án bao quát mức điều chỉnh do thiên lệch công bố trong khoảng r ∈ [0,035; 0,077] qua sáu kiểm định (trim-and-fill mạnh nhất; PET-PEESE; Vevea-Hedges bảo thủ nhất, LRT p = 0,002), gợi mở một câu hỏi nền tảng cho cả tài liệu: nếu bốn thập kỷ bằng chứng I-P bị thổi phồng (mức độ tùy phương pháp hiệu chỉnh) bởi chọn lọc công bố, thì hiệu ứng quần thể thực có thể nằm gần hoặc dưới ngưỡng Cohen</w:t>
      </w:r>
      <w:r>
        <w:t xml:space="preserve"> </w:t>
      </w:r>
      <w:r>
        <w:t xml:space="preserve">“</w:t>
      </w:r>
      <w:r>
        <w:t xml:space="preserve">nhỏ</w:t>
      </w:r>
      <w:r>
        <w:t xml:space="preserve">”</w:t>
      </w:r>
      <w:r>
        <w:t xml:space="preserve"> </w:t>
      </w:r>
      <w:r>
        <w:t xml:space="preserve">và đòi hỏi cỡ mẫu lớn hơn nhiều để phát hiện vai trò điều tiết một cách vững chắc. Luận án ghi nhận nghịch lý này mà không khẳng định đã giải quyết được nó; đây là cam kết chương trình nghiên cứu vượt khuôn khổ một luận án đơn lẻ. Với dòng nghiên cứu về năng lực số, luận án làm rõ rằng DAI là nguồn lực tình huống chứ không phải năng lực nền tảng. Và với dòng nghiên cứu về quốc tế hóa và các nền kinh tế đảo nhỏ, luận án đóng góp ước lượng định lượng đầu tiên cho FIP trên dữ liệu WBES SIDS, nối tiếp dòng nghiên cứu SIDS nền tảng (Briguglio, 1995; Bertram, 2006).</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2026-06-04T01:00:24Z</dcterms:created>
  <dcterms:modified xsi:type="dcterms:W3CDTF">2026-06-04T01:00:24Z</dcterms:modified>
</cp:coreProperties>
</file>

<file path=docProps/custom.xml><?xml version="1.0" encoding="utf-8"?>
<Properties xmlns="http://schemas.openxmlformats.org/officeDocument/2006/custom-properties" xmlns:vt="http://schemas.openxmlformats.org/officeDocument/2006/docPropsVTypes"/>
</file>