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literature,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Xeb842970bc83042d8d18acf50fede2fc1910f98"/>
    <w:p>
      <w:pPr>
        <w:pStyle w:val="Heading2"/>
      </w:pPr>
      <w:r>
        <w:t xml:space="preserve">2.1 Các khái niệm cốt lõi</w:t>
      </w:r>
    </w:p>
    <w:bookmarkStart w:id="20"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 vốn mang nghĩa một xu hướng kinh tế vĩ mô — mà là một thuộc tính đo lường được ở cấp độ doanh nghiệp, phản ánh chiến lược mở rộng quốc tế và mức độ phụ thuộc vào thị trường nước ngoài.</w:t>
      </w:r>
    </w:p>
    <w:p>
      <w:pPr>
        <w:pStyle w:val="BodyText"/>
      </w:pPr>
      <w:r>
        <w:t xml:space="preserve">Trong literature, mức độ quốc tế hóa được vận hành hóa bằng nhiều thước đo khác nhau. Sullivan (1994) đề xuất một chỉ số tổng hợp đa chiều bao gồm tỷ trọng doanh thu từ nước ngoài trên tổng doanh thu (foreign sales to total sales — FSTS), tỷ trọng tài sản ở nước ngoài trên tổng tài sản (foreign assets to total assets — FATA), và phạm vi địa lý (geographic scope). Trong những nghiên cứu sử dụng dữ liệu doanh nghiệp từ các nền kinh tế đang phát triển và từ khảo sát doanh nghiệp của Ngân hàng Thế giới (World Bank Enterprise Surveys —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Đỗ &amp; Phan, 2026 — VEFR).</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literature.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 vốn không cung cấp thông tin về giá cổ phiếu hay giá trị thị trường —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(Đỗ &amp; Phan, 2026 — VEFR).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 TCI) và chỉ số chấp nhận số (Digital Adoption Index —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 đây là chiều sâu nội tại của tổ chức, khó sao chép và tạo ra lợi thế bền vững theo tinh thần RBV (Barney, 1991).</w:t>
      </w:r>
    </w:p>
    <w:p>
      <w:pPr>
        <w:pStyle w:val="BodyText"/>
      </w:pPr>
      <w:r>
        <w:t xml:space="preserve">Chỉ số chấp nhận số (Digital Adoption Index — DAI), ngược lại, phản ánh mức độ áp dụng các công cụ số tại giao diện ngoại tại của doanh nghiệp —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dựa trên tổ hợp các chỉ số quản trị toàn cầu (World Governance Indicators — WGI) của Kaufmann et al. (2011), mức độ phát triển kinh tế, và đặc trưng cấu trúc thể chế: Nhóm I (Advanced Innovation-Driven, bao gồm Singapore, Hong Kong, Đài Loan, Hàn Quốc), Nhóm II (Advanced Resource-Driven, bao gồm các nền kinh tế vùng Vịnh), Nhóm III (Upper-middle, điển hình là Trung Quốc), Nhóm IV (Lower-middle transition, bao gồm Việt Nam và Ấn Độ), Nhóm V (Frontier), và Nhóm VI (Pacific SIDS —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Xd1f28dbba0aaaf84fdd94ae0c3fe8487075de6a"/>
    <w:p>
      <w:pPr>
        <w:pStyle w:val="Heading2"/>
      </w:pPr>
      <w:r>
        <w:t xml:space="preserve">2.2 Các lý thuyết nền</w:t>
      </w:r>
    </w:p>
    <w:bookmarkStart w:id="25"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 "gánh nặng của người nước ngoài" (liability of foreignness) —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 tức doanh nghiệp quốc tế hóa ngay từ giai đoạn đầu mà không theo trình tự tuần tự — và platform firms — tức doanh nghiệp công nghệ tận dụng nền tảng số để vươn ra thị trường quốc tế không cần hiện diện vật lý —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 "học hỏi tăng cường bằng dữ liệu số" (data-augmented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kỹ thuật số — bao gồm cả TCI và DAI theo phân biệt của luận án — được xem là một dạng năng lực động quan trọng, cho phép doanh nghiệp tái cấu hình nguồn lực và mô hình kinh doanh để ứng phó với bất định trong quốc tế hóa (Bhandari et al., 2023; Verhoef et al., 2021). RBV do đó cung cấp nền lý thuyết trực tiếp cho giả thuyết H2 và H3 trong luận án về vai trò điều tiết của TCI và DAI.</w:t>
      </w:r>
    </w:p>
    <w:bookmarkEnd w:id="26"/>
    <w:bookmarkStart w:id="27"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 cả chính thức lẫn phi chính thức —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 từ hệ thống pháp lý đến thị trường vốn, từ tổ chức đánh giá tín nhiệm đến hiệp hội ngành nghề — tạo ra "khoảng trống thể chế" (institutional voids)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 phân tích 170 nghiên cứu với 32 quốc gia giai đoạn 1972–2012 — cho thấy thể chế quốc gia nguồn điều tiết đáng kể mối quan hệ quốc tế hóa —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 được đo bằng số năm kinh nghiệm làm việc hoặc học tập ở nước ngoài, hay tiếp xúc với thị trường quốc tế — giúp giảm nhận thức về liability of foreignness và nâng cao khả năng đánh giá cơ hội, quản trị rủi ro ở thị trường quốc tế (Hsu et al., 2013; Sambharya, 1996). Thứ hai, sự đa dạng giới tính trong lãnh đạo — đặc biệt là sự hiện diện của quản trị viên nữ ở các vị trí lãnh đạo —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29"/>
    <w:bookmarkEnd w:id="30"/>
    <w:bookmarkStart w:id="35" w:name="Xb68718caf7a2cd6e9eb5a792769262881ac883e"/>
    <w:p>
      <w:pPr>
        <w:pStyle w:val="Heading2"/>
      </w:pPr>
      <w:r>
        <w:t xml:space="preserve">2.3 Tổng quan thực nghiệm</w:t>
      </w:r>
    </w:p>
    <w:bookmarkStart w:id="31"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 tức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 kết quả quốc tế hóa phụ thuộc vào điều kiện cụ thể của doanh nghiệp, ngành và quốc gia (Arte &amp; Larimo, 2022).</w:t>
      </w:r>
    </w:p>
    <w:bookmarkEnd w:id="31"/>
    <w:bookmarkStart w:id="32"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 nghiên cứu meta-analytic toàn diện nhất trong literature với 170 nghiên cứu và 32 quốc gia —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 nhất quán với các meta-analyses toàn cầu nhưng cụ thể hơn về bối cảnh châu Á.</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moderator bối cảnh — đặc biệt là thể chế quốc gia, năng lực doanh nghiệp, và đặc điểm ngành — là những nguồn giải thích chính cho sự khác biệt giữa các nghiên cứu. Đây là luận điểm cơ bản biện hộ cho sự cần thiết của một khung giải thích đa tầng.</w:t>
      </w:r>
    </w:p>
    <w:bookmarkEnd w:id="32"/>
    <w:bookmarkStart w:id="33"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Pacific SIDS với quy mô siêu nhỏ và hạ tầng thể chế còn sơ khai (Khanna &amp; Palepu, 2010; Peng, 2003). Thứ hai, tốc độ chuyển đổi số và hội nhập quốc tế rất không đồng đều giữa các quốc gia trong khu vực, tạo ra "thí nghiệm tự nhiên" về ảnh hưởng của bối cảnh thể chế và năng lực số đến kết quả quốc tế hóa.</w:t>
      </w:r>
    </w:p>
    <w:p>
      <w:pPr>
        <w:pStyle w:val="BodyText"/>
      </w:pPr>
      <w:r>
        <w:t xml:space="preserve">Đỗ và Phan (2026 — VEFR)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 phát hiện được gọi là "hiệu ứng lá chắn số" (digital shield effect). Đỗ và Phan (2026 — JFAR) kiểm định cụ thể với dữ liệu doanh nghiệp Trung Quốc và tìm thấy cấu trúc cubic inverted-U với ngưỡng FSTS tối ưu khoảng 47,8% — tức điểm turning point khá thấp so với các nền kinh tế tiên tiến. Luận án kế thừa và mở rộng các kết quả này trên pool đầy đủ 47 nền kinh tế (41 châu Á và 6 Pacific SIDS adjacent).</w:t>
      </w:r>
    </w:p>
    <w:p>
      <w:pPr>
        <w:pStyle w:val="BodyText"/>
      </w:pPr>
      <w:r>
        <w:t xml:space="preserve">Phần lớn các nghiên cứu về I–P trong bối cảnh châu Á tập trung vào Nhật Bản, Hàn Quốc, Đài Loan, và Trung Quốc — trong khi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34"/>
    <w:bookmarkEnd w:id="35"/>
    <w:bookmarkStart w:id="36"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moderator từ một lý thuyết đơn lẻ, không có khả năng giải thích đồng thời heterogeneity do bối cảnh thể chế, năng lực doanh nghiệp, và đặc điểm lãnh đạo tạo ra. Không có lý thuyết đơn lẻ nào — dù là Uppsala, RBV, Institutional Theory, hay Upper Echelons Theory —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Đỗ và Phan (2026 — VEFR) là baseline lớn nhất hiện có trong literature về châu Á, nhưng vẫn chưa bao gồm các nền kinh tế frontier và Pacific SIDS — những địa điểm cực kỳ quan trọng để kiểm định boundary conditions. Thiếu vắng các bằng chứng này khiến cho các lý thuyết về I–P — vốn được xây dựng chủ yếu trên dữ liệu từ Nhật Bản, Hàn Quốc, và các nền kinh tế tiên tiến —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framework) — tên gọi nội bộ —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r>
        <w:pict>
          <v:rect style="width:0;height:1.5pt" o:hralign="center" o:hrstd="t" o:hr="t"/>
        </w:pict>
      </w:r>
    </w:p>
    <w:bookmarkEnd w:id="36"/>
    <w:bookmarkStart w:id="45" w:name="X2e72411c23c34d41d1942bd5d4fbf8ae22da5d2"/>
    <w:p>
      <w:pPr>
        <w:pStyle w:val="Heading2"/>
      </w:pPr>
      <w:r>
        <w:t xml:space="preserve">2.5 Mô hình nghiên cứu và hệ giả thuyết</w:t>
      </w:r>
    </w:p>
    <w:bookmarkStart w:id="37"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 bối cảnh thể chế — được vận hành hóa bằng khung ICRV với sáu sub-regime theo gradient từ Advanced Innovation-Driven đến Pacific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(Đỗ &amp; Phan, 2026 — P8).</w:t>
      </w:r>
    </w:p>
    <w:p>
      <w:pPr>
        <w:pStyle w:val="BodyText"/>
      </w:pPr>
      <w:r>
        <w:t xml:space="preserve">Tầng tổ chức — năng lực doanh nghiệp — bao gồm TCI và DAI như hai moderator độc lập với cơ chế tác động khác nhau. TCI đóng vai trò như một "nâng đỡ mặt bằng" (level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 đặc điểm nhà quản trị cấp cao —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mà có thể thay đổi khi bối cảnh thể chế và năng lực doanh nghiệp thay đổi theo chiều dọc, đặc biệt rõ rệt ở các nền kinh tế chuyển đổi nhanh như Trung Quốc.</w:t>
      </w:r>
    </w:p>
    <w:bookmarkEnd w:id="37"/>
    <w:bookmarkStart w:id="38" w:name="Xa138305ccd4d6ccfbd8098a87bf493c47bc52a0"/>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38"/>
    <w:bookmarkStart w:id="39"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w:t>
      </w:r>
      <w:r>
        <w:t xml:space="preserve">— không có điểm turning point trong phạm vi dữ liệu — phản ánh gánh nặng quốc tế hóa bắt buộc (Forced Internationalization Penalty —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39"/>
    <w:bookmarkStart w:id="40"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turning point. Cơ sở lý thuyết bao gồm Barney (1991), Teece et al. (1997), và Bhandari et al. (2023).</w:t>
      </w:r>
    </w:p>
    <w:bookmarkEnd w:id="40"/>
    <w:bookmarkStart w:id="41"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1"/>
    <w:bookmarkStart w:id="42"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w:t>
      </w:r>
    </w:p>
    <w:bookmarkEnd w:id="42"/>
    <w:bookmarkStart w:id="43"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3"/>
    <w:bookmarkStart w:id="44"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 cụ thể là vị trí của điểm turning point và độ cong của đường quan hệ —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Đỗ và Phan (2026 — JFAR) về sự ổn định tương đối của turning point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4"/>
    <w:bookmarkEnd w:id="45"/>
    <w:bookmarkStart w:id="46"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 Uppsala, RBV, Institutional Theory, và Upper Echelons Theory — cùng với lớp mở rộng Digital Capability Lens,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và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2026-05-16T10:01:45Z</dcterms:created>
  <dcterms:modified xsi:type="dcterms:W3CDTF">2026-05-16T10:01:45Z</dcterms:modified>
</cp:coreProperties>
</file>

<file path=docProps/custom.xml><?xml version="1.0" encoding="utf-8"?>
<Properties xmlns="http://schemas.openxmlformats.org/officeDocument/2006/custom-properties" xmlns:vt="http://schemas.openxmlformats.org/officeDocument/2006/docPropsVTypes"/>
</file>